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0426B4" w:rsidRDefault="00ED1331">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End w:id="0"/>
      <w:bookmarkEnd w:id="1"/>
      <w:r>
        <w:rPr>
          <w:rFonts w:ascii="Arial" w:hAnsi="Arial" w:cs="Arial" w:hint="eastAsia"/>
          <w:b/>
          <w:sz w:val="24"/>
          <w:szCs w:val="24"/>
        </w:rPr>
        <w:t xml:space="preserve">3GPP TSG-RAN WG4 Meeting # 117                                 </w:t>
      </w:r>
      <w:r>
        <w:rPr>
          <w:rFonts w:ascii="Arial" w:hAnsi="Arial" w:cs="Arial"/>
          <w:b/>
          <w:sz w:val="24"/>
          <w:szCs w:val="24"/>
        </w:rPr>
        <w:t xml:space="preserve"> </w:t>
      </w:r>
      <w:bookmarkStart w:id="3" w:name="_GoBack"/>
      <w:bookmarkEnd w:id="3"/>
      <w:r w:rsidR="004E5826" w:rsidRPr="004E5826">
        <w:rPr>
          <w:rFonts w:ascii="Arial" w:hAnsi="Arial" w:cs="Arial"/>
          <w:b/>
          <w:sz w:val="24"/>
          <w:szCs w:val="24"/>
        </w:rPr>
        <w:t>R4-2521190</w:t>
      </w:r>
    </w:p>
    <w:bookmarkEnd w:id="2"/>
    <w:p w:rsidR="000426B4" w:rsidRDefault="00ED1331">
      <w:pPr>
        <w:pStyle w:val="ac"/>
        <w:tabs>
          <w:tab w:val="clear" w:pos="4680"/>
          <w:tab w:val="clear" w:pos="9360"/>
          <w:tab w:val="right" w:pos="9781"/>
          <w:tab w:val="right" w:pos="13323"/>
        </w:tabs>
        <w:spacing w:before="120" w:after="120"/>
        <w:rPr>
          <w:rFonts w:ascii="Arial" w:hAnsi="Arial" w:cs="Arial"/>
          <w:b/>
          <w:sz w:val="24"/>
          <w:szCs w:val="24"/>
        </w:rPr>
      </w:pPr>
      <w:r>
        <w:rPr>
          <w:rFonts w:ascii="Arial" w:hAnsi="Arial" w:cs="Arial"/>
          <w:b/>
          <w:sz w:val="24"/>
          <w:szCs w:val="24"/>
        </w:rPr>
        <w:t>Dallas, USA, Nov. 17-21, 2025</w:t>
      </w:r>
    </w:p>
    <w:p w:rsidR="000426B4" w:rsidRDefault="000426B4">
      <w:pPr>
        <w:pStyle w:val="ac"/>
        <w:tabs>
          <w:tab w:val="clear" w:pos="4680"/>
          <w:tab w:val="clear" w:pos="9360"/>
          <w:tab w:val="right" w:pos="9781"/>
          <w:tab w:val="right" w:pos="13323"/>
        </w:tabs>
        <w:spacing w:before="120" w:after="120"/>
        <w:rPr>
          <w:rFonts w:ascii="Arial" w:hAnsi="Arial" w:cs="Arial"/>
          <w:b/>
          <w:sz w:val="24"/>
          <w:szCs w:val="24"/>
        </w:rPr>
      </w:pPr>
    </w:p>
    <w:p w:rsidR="000426B4" w:rsidRDefault="00ED1331">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b/>
          <w:sz w:val="24"/>
        </w:rPr>
        <w:t>Discussion on performance requirements for 6Rx UE with interference</w:t>
      </w:r>
    </w:p>
    <w:p w:rsidR="000426B4" w:rsidRDefault="00ED1331">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0426B4" w:rsidRDefault="00ED1331">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t>7.5.4</w:t>
      </w:r>
    </w:p>
    <w:p w:rsidR="000426B4" w:rsidRDefault="00ED1331">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0426B4" w:rsidRDefault="00ED1331">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0426B4" w:rsidRDefault="00ED1331">
      <w:pPr>
        <w:spacing w:before="120" w:after="120"/>
        <w:rPr>
          <w:szCs w:val="22"/>
        </w:rPr>
      </w:pPr>
      <w:r>
        <w:rPr>
          <w:rFonts w:hint="eastAsia"/>
          <w:szCs w:val="22"/>
        </w:rPr>
        <w:t>In RAN #10</w:t>
      </w:r>
      <w:r>
        <w:rPr>
          <w:szCs w:val="22"/>
        </w:rPr>
        <w:t>9</w:t>
      </w:r>
      <w:r>
        <w:rPr>
          <w:rFonts w:hint="eastAsia"/>
          <w:szCs w:val="22"/>
        </w:rPr>
        <w:t xml:space="preserve"> meeting, the new WID of UE performance requirements for </w:t>
      </w:r>
      <w:r>
        <w:rPr>
          <w:szCs w:val="22"/>
        </w:rPr>
        <w:t>6</w:t>
      </w:r>
      <w:r>
        <w:rPr>
          <w:rFonts w:hint="eastAsia"/>
          <w:szCs w:val="22"/>
        </w:rPr>
        <w:t xml:space="preserve">Rx </w:t>
      </w:r>
      <w:r>
        <w:rPr>
          <w:szCs w:val="22"/>
        </w:rPr>
        <w:t xml:space="preserve">UE </w:t>
      </w:r>
      <w:r>
        <w:rPr>
          <w:rFonts w:hint="eastAsia"/>
          <w:szCs w:val="22"/>
        </w:rPr>
        <w:t>devices</w:t>
      </w:r>
      <w:r>
        <w:rPr>
          <w:szCs w:val="22"/>
        </w:rPr>
        <w:t xml:space="preserve"> (</w:t>
      </w:r>
      <w:r>
        <w:t>both handheld and FWA</w:t>
      </w:r>
      <w:r>
        <w:rPr>
          <w:szCs w:val="22"/>
        </w:rPr>
        <w:t>)</w:t>
      </w:r>
      <w:r>
        <w:rPr>
          <w:rFonts w:hint="eastAsia"/>
          <w:szCs w:val="22"/>
        </w:rPr>
        <w:t xml:space="preserve">, which was approved in [1], wherein the objectives related to </w:t>
      </w:r>
      <w:r>
        <w:rPr>
          <w:szCs w:val="22"/>
        </w:rPr>
        <w:t>6</w:t>
      </w:r>
      <w:r>
        <w:rPr>
          <w:rFonts w:hint="eastAsia"/>
          <w:szCs w:val="22"/>
        </w:rPr>
        <w:t xml:space="preserve">Rx </w:t>
      </w:r>
      <w:r>
        <w:rPr>
          <w:szCs w:val="22"/>
        </w:rPr>
        <w:t xml:space="preserve">UE </w:t>
      </w:r>
      <w:r>
        <w:rPr>
          <w:rFonts w:hint="eastAsia"/>
          <w:szCs w:val="22"/>
        </w:rPr>
        <w:t>are listed as below:</w:t>
      </w:r>
    </w:p>
    <w:tbl>
      <w:tblPr>
        <w:tblStyle w:val="af3"/>
        <w:tblW w:w="0" w:type="auto"/>
        <w:tblLook w:val="04A0" w:firstRow="1" w:lastRow="0" w:firstColumn="1" w:lastColumn="0" w:noHBand="0" w:noVBand="1"/>
      </w:tblPr>
      <w:tblGrid>
        <w:gridCol w:w="9876"/>
      </w:tblGrid>
      <w:tr w:rsidR="000426B4">
        <w:tc>
          <w:tcPr>
            <w:tcW w:w="9876" w:type="dxa"/>
          </w:tcPr>
          <w:p w:rsidR="000426B4" w:rsidRDefault="00ED1331">
            <w:pPr>
              <w:numPr>
                <w:ilvl w:val="0"/>
                <w:numId w:val="7"/>
              </w:numPr>
              <w:suppressAutoHyphens/>
              <w:overflowPunct/>
              <w:autoSpaceDE/>
              <w:autoSpaceDN/>
              <w:adjustRightInd/>
              <w:spacing w:beforeLines="0" w:before="120" w:afterLines="0" w:after="120" w:line="240" w:lineRule="auto"/>
              <w:ind w:hanging="418"/>
              <w:jc w:val="left"/>
            </w:pPr>
            <w:r>
              <w:t>Define the following performance requirements for 6Rx UE (both handheld and FWA) with interference</w:t>
            </w:r>
          </w:p>
          <w:p w:rsidR="000426B4" w:rsidRDefault="00ED1331">
            <w:pPr>
              <w:numPr>
                <w:ilvl w:val="1"/>
                <w:numId w:val="7"/>
              </w:numPr>
              <w:suppressAutoHyphens/>
              <w:overflowPunct/>
              <w:autoSpaceDE/>
              <w:autoSpaceDN/>
              <w:adjustRightInd/>
              <w:spacing w:beforeLines="0" w:before="120" w:afterLines="0" w:after="120" w:line="240" w:lineRule="auto"/>
              <w:ind w:hanging="418"/>
              <w:jc w:val="left"/>
            </w:pPr>
            <w:r>
              <w:t>PDSCH demodulation with inter-cell interference with MMSE-IRC receiver</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Use the Rel-17 interference model for 2/4Rx UE as a baseline</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 xml:space="preserve">Up to 4 MIMO layers for target cell </w:t>
            </w:r>
          </w:p>
          <w:p w:rsidR="000426B4" w:rsidRDefault="00ED1331">
            <w:pPr>
              <w:numPr>
                <w:ilvl w:val="1"/>
                <w:numId w:val="7"/>
              </w:numPr>
              <w:suppressAutoHyphens/>
              <w:overflowPunct/>
              <w:autoSpaceDE/>
              <w:autoSpaceDN/>
              <w:adjustRightInd/>
              <w:spacing w:beforeLines="0" w:before="120" w:afterLines="0" w:after="120" w:line="240" w:lineRule="auto"/>
              <w:ind w:hanging="418"/>
              <w:jc w:val="left"/>
            </w:pPr>
            <w:r>
              <w:t>Specify CQI reporting requirements with inter-cell interference with MMSE-IRC receiver</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Note 3: The start of the work is postponed until when the decision to define the R19 CQI requirements without interference is made, and will only start when there is R19 CQI requirements without interference.</w:t>
            </w:r>
          </w:p>
          <w:p w:rsidR="000426B4" w:rsidRDefault="00ED1331">
            <w:pPr>
              <w:numPr>
                <w:ilvl w:val="1"/>
                <w:numId w:val="7"/>
              </w:numPr>
              <w:suppressAutoHyphens/>
              <w:overflowPunct/>
              <w:autoSpaceDE/>
              <w:autoSpaceDN/>
              <w:adjustRightInd/>
              <w:spacing w:beforeLines="0" w:before="120" w:afterLines="0" w:after="120" w:line="240" w:lineRule="auto"/>
              <w:ind w:hanging="418"/>
              <w:jc w:val="left"/>
            </w:pPr>
            <w:r>
              <w:t>PDSCH demodulation requirements with intra-cell inter-user interference with MMSE-IRC receiver</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Use the existing interference model for 2/4Rx UE as a baseline</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Up to 2 MIMO layers for each user</w:t>
            </w:r>
          </w:p>
        </w:tc>
      </w:tr>
    </w:tbl>
    <w:p w:rsidR="000426B4" w:rsidRDefault="00ED1331">
      <w:pPr>
        <w:spacing w:before="120" w:after="120"/>
        <w:rPr>
          <w:szCs w:val="22"/>
        </w:rPr>
      </w:pPr>
      <w:r>
        <w:rPr>
          <w:rFonts w:hint="eastAsia"/>
          <w:szCs w:val="22"/>
        </w:rPr>
        <w:t xml:space="preserve">In this contribution, we give some initial discussions on the </w:t>
      </w:r>
      <w:r>
        <w:t>UE performance requirements for 6Rx devices (both handheld and FWA)</w:t>
      </w:r>
      <w:r>
        <w:rPr>
          <w:rFonts w:hint="eastAsia"/>
        </w:rPr>
        <w:t>, which include inter-cell interference cancellation and intra-cell inter-user interference cancellation.</w:t>
      </w:r>
    </w:p>
    <w:p w:rsidR="000426B4" w:rsidRDefault="00ED1331">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0426B4" w:rsidRDefault="00ED1331">
      <w:pPr>
        <w:widowControl w:val="0"/>
        <w:spacing w:beforeLines="100" w:before="240" w:afterLines="0" w:line="240" w:lineRule="auto"/>
      </w:pPr>
      <w:r>
        <w:rPr>
          <w:rFonts w:hint="eastAsia"/>
        </w:rPr>
        <w:t>As we all know, co-channel inter-cell and intra-cell inter-user interference cancellation performance requirements were introduced in Rel-17. And in Rel-1</w:t>
      </w:r>
      <w:r>
        <w:t>9</w:t>
      </w:r>
      <w:r>
        <w:rPr>
          <w:rFonts w:hint="eastAsia"/>
        </w:rPr>
        <w:t xml:space="preserve">, RAN4 introduced </w:t>
      </w:r>
      <w:r>
        <w:t>6</w:t>
      </w:r>
      <w:r>
        <w:rPr>
          <w:rFonts w:hint="eastAsia"/>
        </w:rPr>
        <w:t xml:space="preserve">Rx demodulation requirements for PDSCH and CSI performance. With </w:t>
      </w:r>
      <w:r>
        <w:t>6</w:t>
      </w:r>
      <w:r>
        <w:rPr>
          <w:rFonts w:hint="eastAsia"/>
        </w:rPr>
        <w:t xml:space="preserve">Rx, larger performance gain can be verified, due to larger spatial domain freedom compared to 2/4Rx. As a consequence, from demodulation perspective, there are more benefits to define UE performance requirements for </w:t>
      </w:r>
      <w:r>
        <w:t>6</w:t>
      </w:r>
      <w:r>
        <w:rPr>
          <w:rFonts w:hint="eastAsia"/>
        </w:rPr>
        <w:t xml:space="preserve">Rx </w:t>
      </w:r>
      <w:r>
        <w:t xml:space="preserve">UE </w:t>
      </w:r>
      <w:r>
        <w:rPr>
          <w:rFonts w:hint="eastAsia"/>
        </w:rPr>
        <w:t>devices under interference scenarios.</w:t>
      </w:r>
    </w:p>
    <w:p w:rsidR="000426B4" w:rsidRDefault="00ED1331">
      <w:pPr>
        <w:widowControl w:val="0"/>
        <w:spacing w:beforeLines="100" w:before="240" w:afterLines="0" w:line="240" w:lineRule="auto"/>
        <w:outlineLvl w:val="1"/>
        <w:rPr>
          <w:b/>
          <w:bCs/>
          <w:sz w:val="24"/>
          <w:szCs w:val="24"/>
        </w:rPr>
      </w:pPr>
      <w:r>
        <w:rPr>
          <w:b/>
          <w:bCs/>
          <w:sz w:val="24"/>
          <w:szCs w:val="24"/>
        </w:rPr>
        <w:t>General</w:t>
      </w:r>
    </w:p>
    <w:p w:rsidR="000426B4" w:rsidRDefault="00ED1331">
      <w:pPr>
        <w:spacing w:before="120" w:after="120"/>
        <w:rPr>
          <w:b/>
          <w:u w:val="single"/>
        </w:rPr>
      </w:pPr>
      <w:r>
        <w:rPr>
          <w:b/>
          <w:u w:val="single"/>
        </w:rPr>
        <w:t>Coverage of UE types</w:t>
      </w:r>
    </w:p>
    <w:tbl>
      <w:tblPr>
        <w:tblStyle w:val="af3"/>
        <w:tblW w:w="0" w:type="auto"/>
        <w:tblLook w:val="04A0" w:firstRow="1" w:lastRow="0" w:firstColumn="1" w:lastColumn="0" w:noHBand="0" w:noVBand="1"/>
      </w:tblPr>
      <w:tblGrid>
        <w:gridCol w:w="9876"/>
      </w:tblGrid>
      <w:tr w:rsidR="000426B4">
        <w:tc>
          <w:tcPr>
            <w:tcW w:w="9876" w:type="dxa"/>
          </w:tcPr>
          <w:p w:rsidR="000426B4" w:rsidRDefault="00ED1331">
            <w:pPr>
              <w:pStyle w:val="af8"/>
              <w:numPr>
                <w:ilvl w:val="0"/>
                <w:numId w:val="8"/>
              </w:numPr>
              <w:overflowPunct/>
              <w:autoSpaceDE/>
              <w:adjustRightInd/>
              <w:snapToGrid w:val="0"/>
              <w:spacing w:before="120" w:afterLines="0" w:after="120"/>
              <w:ind w:left="284" w:hanging="284"/>
              <w:contextualSpacing w:val="0"/>
              <w:jc w:val="left"/>
              <w:textAlignment w:val="auto"/>
              <w:rPr>
                <w:rFonts w:eastAsiaTheme="minorEastAsia"/>
                <w:sz w:val="18"/>
                <w:szCs w:val="18"/>
              </w:rPr>
            </w:pPr>
            <w:r>
              <w:rPr>
                <w:rFonts w:eastAsiaTheme="minorEastAsia" w:hint="eastAsia"/>
                <w:sz w:val="18"/>
                <w:szCs w:val="18"/>
              </w:rPr>
              <w:t>O</w:t>
            </w:r>
            <w:r>
              <w:rPr>
                <w:rFonts w:eastAsiaTheme="minorEastAsia"/>
                <w:sz w:val="18"/>
                <w:szCs w:val="18"/>
              </w:rPr>
              <w:t>bservation:</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rFonts w:eastAsiaTheme="minorEastAsia"/>
                <w:sz w:val="18"/>
                <w:szCs w:val="18"/>
              </w:rPr>
            </w:pPr>
            <w:r>
              <w:rPr>
                <w:rFonts w:eastAsiaTheme="minorEastAsia" w:hint="eastAsia"/>
                <w:sz w:val="18"/>
                <w:szCs w:val="18"/>
              </w:rPr>
              <w:t>I</w:t>
            </w:r>
            <w:r>
              <w:rPr>
                <w:rFonts w:eastAsiaTheme="minorEastAsia"/>
                <w:sz w:val="18"/>
                <w:szCs w:val="18"/>
              </w:rPr>
              <w:t xml:space="preserve">t is clearly stated in the approved WID that the 6Rx requirements with interference will cover both FWA and handheld </w:t>
            </w:r>
            <w:r>
              <w:rPr>
                <w:rFonts w:eastAsiaTheme="minorEastAsia"/>
                <w:sz w:val="18"/>
                <w:szCs w:val="18"/>
              </w:rPr>
              <w:lastRenderedPageBreak/>
              <w:t>UEs.</w:t>
            </w:r>
          </w:p>
          <w:p w:rsidR="000426B4" w:rsidRDefault="00ED1331">
            <w:pPr>
              <w:pStyle w:val="af8"/>
              <w:numPr>
                <w:ilvl w:val="0"/>
                <w:numId w:val="8"/>
              </w:numPr>
              <w:overflowPunct/>
              <w:autoSpaceDE/>
              <w:adjustRightInd/>
              <w:snapToGrid w:val="0"/>
              <w:spacing w:before="120" w:afterLines="0" w:after="120"/>
              <w:ind w:left="284" w:hanging="284"/>
              <w:contextualSpacing w:val="0"/>
              <w:jc w:val="left"/>
              <w:textAlignment w:val="auto"/>
              <w:rPr>
                <w:rFonts w:eastAsiaTheme="minorEastAsia"/>
                <w:sz w:val="18"/>
                <w:szCs w:val="18"/>
              </w:rPr>
            </w:pPr>
            <w:r>
              <w:rPr>
                <w:rFonts w:eastAsia="宋体"/>
                <w:sz w:val="18"/>
                <w:szCs w:val="18"/>
              </w:rPr>
              <w:t>Proposals:</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Pr>
                <w:rFonts w:eastAsiaTheme="minorEastAsia"/>
                <w:sz w:val="18"/>
                <w:szCs w:val="18"/>
              </w:rPr>
              <w:t>Proposal 1: FFS whether to define one set or two sets of requirements for handheld and FWA UEs until there is clear agreement in Rel-19.</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Pr>
                <w:rFonts w:eastAsiaTheme="minorEastAsia"/>
                <w:sz w:val="18"/>
                <w:szCs w:val="18"/>
              </w:rPr>
              <w:t>Proposal 2: Define only a single requirement for both handheld and FWA devices.</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pPr>
            <w:r>
              <w:rPr>
                <w:rFonts w:eastAsiaTheme="minorEastAsia" w:hint="eastAsia"/>
                <w:sz w:val="18"/>
                <w:szCs w:val="18"/>
              </w:rPr>
              <w:t>P</w:t>
            </w:r>
            <w:r>
              <w:rPr>
                <w:rFonts w:eastAsiaTheme="minorEastAsia"/>
                <w:sz w:val="18"/>
                <w:szCs w:val="18"/>
              </w:rPr>
              <w:t>roposal 3: Define separate requirements for handheld and FWA devices</w:t>
            </w:r>
          </w:p>
        </w:tc>
      </w:tr>
    </w:tbl>
    <w:p w:rsidR="000426B4" w:rsidRDefault="00ED1331">
      <w:pPr>
        <w:widowControl w:val="0"/>
        <w:spacing w:beforeLines="100" w:before="240" w:afterLines="0" w:line="240" w:lineRule="auto"/>
      </w:pPr>
      <w:r>
        <w:lastRenderedPageBreak/>
        <w:t xml:space="preserve">At the last meeting, it was agreed that one test case </w:t>
      </w:r>
      <w:r>
        <w:rPr>
          <w:rFonts w:hint="eastAsia"/>
        </w:rPr>
        <w:t>is</w:t>
      </w:r>
      <w:r>
        <w:t xml:space="preserve"> applicable to both the FWA and the handheld in Rel-19 6Rx. B</w:t>
      </w:r>
      <w:r>
        <w:rPr>
          <w:rFonts w:hint="eastAsia"/>
        </w:rPr>
        <w:t>a</w:t>
      </w:r>
      <w:r>
        <w:t>sed this agreement, we think that the Rel-20 6Rx with interference could be follow this rule to define one test case under inter-cell and intra- cell interference scenarios.</w:t>
      </w:r>
    </w:p>
    <w:p w:rsidR="000426B4" w:rsidRDefault="00ED1331">
      <w:pPr>
        <w:widowControl w:val="0"/>
        <w:spacing w:beforeLines="100" w:before="240" w:afterLines="0" w:line="240" w:lineRule="auto"/>
        <w:rPr>
          <w:b/>
          <w:i/>
        </w:rPr>
      </w:pPr>
      <w:r>
        <w:rPr>
          <w:b/>
          <w:i/>
        </w:rPr>
        <w:t>Proposal 1. Propose to define only one test case for both FWA and handheld UE devices.</w:t>
      </w:r>
    </w:p>
    <w:p w:rsidR="000426B4" w:rsidRDefault="00ED1331">
      <w:pPr>
        <w:spacing w:before="120" w:after="120"/>
        <w:rPr>
          <w:b/>
          <w:u w:val="single"/>
        </w:rPr>
      </w:pPr>
      <w:r>
        <w:rPr>
          <w:b/>
          <w:u w:val="single"/>
        </w:rPr>
        <w:t>Antenna correlation</w:t>
      </w:r>
    </w:p>
    <w:tbl>
      <w:tblPr>
        <w:tblStyle w:val="af3"/>
        <w:tblW w:w="0" w:type="auto"/>
        <w:tblLook w:val="04A0" w:firstRow="1" w:lastRow="0" w:firstColumn="1" w:lastColumn="0" w:noHBand="0" w:noVBand="1"/>
      </w:tblPr>
      <w:tblGrid>
        <w:gridCol w:w="9876"/>
      </w:tblGrid>
      <w:tr w:rsidR="000426B4">
        <w:tc>
          <w:tcPr>
            <w:tcW w:w="9876" w:type="dxa"/>
          </w:tcPr>
          <w:p w:rsidR="000426B4" w:rsidRDefault="00ED1331">
            <w:pPr>
              <w:pStyle w:val="af8"/>
              <w:numPr>
                <w:ilvl w:val="0"/>
                <w:numId w:val="8"/>
              </w:numPr>
              <w:overflowPunct/>
              <w:autoSpaceDE/>
              <w:adjustRightInd/>
              <w:snapToGrid w:val="0"/>
              <w:spacing w:before="120" w:afterLines="0" w:after="120"/>
              <w:ind w:left="284" w:hanging="284"/>
              <w:contextualSpacing w:val="0"/>
              <w:jc w:val="left"/>
              <w:textAlignment w:val="auto"/>
              <w:rPr>
                <w:rFonts w:eastAsiaTheme="minorEastAsia"/>
                <w:sz w:val="18"/>
                <w:szCs w:val="18"/>
              </w:rPr>
            </w:pPr>
            <w:r>
              <w:rPr>
                <w:rFonts w:eastAsia="宋体"/>
                <w:sz w:val="18"/>
                <w:szCs w:val="18"/>
              </w:rPr>
              <w:t>Candidate options:</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Pr>
                <w:rFonts w:eastAsiaTheme="minorEastAsia"/>
                <w:sz w:val="18"/>
                <w:szCs w:val="18"/>
              </w:rPr>
              <w:t>Proposal 1: Follow the decision in the Rel-19 WI ‘NR_ENDC_RF_Ph4-Perf’.</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Pr>
                <w:rFonts w:eastAsiaTheme="minorEastAsia" w:hint="eastAsia"/>
                <w:sz w:val="18"/>
                <w:szCs w:val="18"/>
              </w:rPr>
              <w:t>P</w:t>
            </w:r>
            <w:r>
              <w:rPr>
                <w:rFonts w:eastAsiaTheme="minorEastAsia"/>
                <w:sz w:val="18"/>
                <w:szCs w:val="18"/>
              </w:rPr>
              <w:t>roposal 2: Evaluate the performance with α = 0 and β = 0.07179 for handheld UE and low correlation for FWA</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pPr>
            <w:r>
              <w:rPr>
                <w:rFonts w:eastAsiaTheme="minorEastAsia" w:hint="eastAsia"/>
                <w:sz w:val="18"/>
                <w:szCs w:val="18"/>
              </w:rPr>
              <w:t>P</w:t>
            </w:r>
            <w:r>
              <w:rPr>
                <w:rFonts w:eastAsiaTheme="minorEastAsia"/>
                <w:sz w:val="18"/>
                <w:szCs w:val="18"/>
              </w:rPr>
              <w:t>roposal 3: For initial simulation alignment, cover both ULA Low and ULA “non-Low” as per outcome of NR_ENDC_RF_Ph4_Demod_6Rx.</w:t>
            </w:r>
          </w:p>
        </w:tc>
      </w:tr>
    </w:tbl>
    <w:p w:rsidR="000426B4" w:rsidRDefault="00ED1331">
      <w:pPr>
        <w:widowControl w:val="0"/>
        <w:spacing w:beforeLines="100" w:before="240" w:afterLines="0" w:line="240" w:lineRule="auto"/>
      </w:pPr>
      <w:r>
        <w:t xml:space="preserve">In Rel-19 discussion, which agreed to consider </w:t>
      </w:r>
      <m:oMath>
        <m:r>
          <m:rPr>
            <m:sty m:val="p"/>
          </m:rPr>
          <w:rPr>
            <w:rFonts w:ascii="Cambria Math" w:hAnsi="Cambria Math"/>
          </w:rPr>
          <m:t xml:space="preserve">α </m:t>
        </m:r>
      </m:oMath>
      <w:r>
        <w:t xml:space="preserve">= 0 and β = 0.07179 as default antenna correlation for 4 MIMO layers scenarios. Also, we evaluated the ULA low and ULA with </w:t>
      </w:r>
      <m:oMath>
        <m:r>
          <m:rPr>
            <m:sty m:val="p"/>
          </m:rPr>
          <w:rPr>
            <w:rFonts w:ascii="Cambria Math" w:hAnsi="Cambria Math"/>
          </w:rPr>
          <m:t xml:space="preserve">α </m:t>
        </m:r>
      </m:oMath>
      <w:r>
        <w:t>= 0 and β = 0.07179 scenarios in our contribution [3].</w:t>
      </w:r>
      <w:r>
        <w:rPr>
          <w:rFonts w:hint="eastAsia"/>
        </w:rPr>
        <w:t xml:space="preserve"> From our simulation results, both ULA low and ULA with </w:t>
      </w:r>
      <m:oMath>
        <m:r>
          <m:rPr>
            <m:sty m:val="p"/>
          </m:rPr>
          <w:rPr>
            <w:rFonts w:ascii="Cambria Math" w:hAnsi="Cambria Math"/>
          </w:rPr>
          <m:t xml:space="preserve">α </m:t>
        </m:r>
      </m:oMath>
      <w:r>
        <w:t>= 0 and β = 0.07179</w:t>
      </w:r>
      <w:r>
        <w:rPr>
          <w:rFonts w:hint="eastAsia"/>
        </w:rPr>
        <w:t xml:space="preserve"> also achieve the SNR operation point of 70 % maximum throughput. From this point of view, we believe that both ULA low and ULA with </w:t>
      </w:r>
      <m:oMath>
        <m:r>
          <m:rPr>
            <m:sty m:val="p"/>
          </m:rPr>
          <w:rPr>
            <w:rFonts w:ascii="Cambria Math" w:hAnsi="Cambria Math"/>
          </w:rPr>
          <m:t xml:space="preserve">α </m:t>
        </m:r>
      </m:oMath>
      <w:r>
        <w:t>= 0 and β = 0.07179</w:t>
      </w:r>
      <w:r>
        <w:rPr>
          <w:rFonts w:hint="eastAsia"/>
        </w:rPr>
        <w:t xml:space="preserve"> propagation conditions can be considered as default assumption. However, considering the Rel-19 discussion, we think it is better to align the 6Rx discussion. </w:t>
      </w:r>
    </w:p>
    <w:p w:rsidR="000426B4" w:rsidRDefault="00ED1331">
      <w:pPr>
        <w:widowControl w:val="0"/>
        <w:spacing w:beforeLines="100" w:before="240" w:afterLines="0" w:line="240" w:lineRule="auto"/>
        <w:rPr>
          <w:b/>
          <w:i/>
        </w:rPr>
      </w:pPr>
      <w:r>
        <w:rPr>
          <w:rFonts w:hint="eastAsia"/>
          <w:b/>
          <w:i/>
        </w:rPr>
        <w:t xml:space="preserve">Observation 1, From our simulation results, both ULA low and ULA with </w:t>
      </w:r>
      <m:oMath>
        <m:r>
          <m:rPr>
            <m:sty m:val="bi"/>
          </m:rPr>
          <w:rPr>
            <w:rFonts w:ascii="Cambria Math" w:hAnsi="Cambria Math"/>
          </w:rPr>
          <m:t xml:space="preserve">α </m:t>
        </m:r>
      </m:oMath>
      <w:r>
        <w:rPr>
          <w:b/>
          <w:i/>
        </w:rPr>
        <w:t>= 0 and β = 0.07179</w:t>
      </w:r>
      <w:r>
        <w:rPr>
          <w:rFonts w:hint="eastAsia"/>
          <w:b/>
          <w:i/>
        </w:rPr>
        <w:t xml:space="preserve"> also achieve the SNR operation point of 70 % maximum throughput.</w:t>
      </w:r>
    </w:p>
    <w:p w:rsidR="000426B4" w:rsidRDefault="00ED1331">
      <w:pPr>
        <w:widowControl w:val="0"/>
        <w:spacing w:beforeLines="100" w:before="240" w:afterLines="0" w:line="240" w:lineRule="auto"/>
      </w:pPr>
      <w:r>
        <w:rPr>
          <w:rFonts w:hint="eastAsia"/>
          <w:b/>
          <w:i/>
        </w:rPr>
        <w:t>P</w:t>
      </w:r>
      <w:r>
        <w:rPr>
          <w:b/>
          <w:i/>
        </w:rPr>
        <w:t xml:space="preserve">roposal 2. Propose to </w:t>
      </w:r>
      <w:r>
        <w:rPr>
          <w:rFonts w:hint="eastAsia"/>
          <w:b/>
          <w:i/>
        </w:rPr>
        <w:t>follow the decision of antenna correlation in the Rel-19 6Rx.</w:t>
      </w:r>
    </w:p>
    <w:p w:rsidR="000426B4" w:rsidRDefault="000426B4">
      <w:pPr>
        <w:widowControl w:val="0"/>
        <w:spacing w:beforeLines="100" w:before="240" w:afterLines="0" w:line="240" w:lineRule="auto"/>
      </w:pPr>
    </w:p>
    <w:p w:rsidR="000426B4" w:rsidRDefault="00ED1331">
      <w:pPr>
        <w:numPr>
          <w:ilvl w:val="1"/>
          <w:numId w:val="0"/>
        </w:numPr>
        <w:spacing w:before="120" w:after="120"/>
        <w:ind w:rightChars="100" w:right="210"/>
        <w:outlineLvl w:val="1"/>
        <w:rPr>
          <w:b/>
          <w:bCs/>
          <w:sz w:val="24"/>
          <w:szCs w:val="24"/>
        </w:rPr>
      </w:pPr>
      <w:r>
        <w:rPr>
          <w:rFonts w:hint="eastAsia"/>
          <w:b/>
          <w:bCs/>
          <w:sz w:val="24"/>
          <w:szCs w:val="24"/>
        </w:rPr>
        <w:t>Inter-cell interference cancellation scenario</w:t>
      </w:r>
    </w:p>
    <w:p w:rsidR="000426B4" w:rsidRDefault="00ED1331">
      <w:pPr>
        <w:spacing w:before="120" w:after="120"/>
        <w:rPr>
          <w:b/>
          <w:u w:val="single"/>
        </w:rPr>
      </w:pPr>
      <w:r>
        <w:rPr>
          <w:b/>
          <w:u w:val="single"/>
        </w:rPr>
        <w:t>Propagation condition</w:t>
      </w:r>
    </w:p>
    <w:tbl>
      <w:tblPr>
        <w:tblStyle w:val="af3"/>
        <w:tblW w:w="0" w:type="auto"/>
        <w:tblLook w:val="04A0" w:firstRow="1" w:lastRow="0" w:firstColumn="1" w:lastColumn="0" w:noHBand="0" w:noVBand="1"/>
      </w:tblPr>
      <w:tblGrid>
        <w:gridCol w:w="9876"/>
      </w:tblGrid>
      <w:tr w:rsidR="000426B4">
        <w:tc>
          <w:tcPr>
            <w:tcW w:w="9876" w:type="dxa"/>
          </w:tcPr>
          <w:p w:rsidR="000426B4" w:rsidRDefault="00ED1331">
            <w:pPr>
              <w:pStyle w:val="af8"/>
              <w:numPr>
                <w:ilvl w:val="0"/>
                <w:numId w:val="8"/>
              </w:numPr>
              <w:overflowPunct/>
              <w:autoSpaceDE/>
              <w:adjustRightInd/>
              <w:snapToGrid w:val="0"/>
              <w:spacing w:before="120" w:afterLines="0" w:after="120"/>
              <w:ind w:left="284" w:hanging="284"/>
              <w:contextualSpacing w:val="0"/>
              <w:jc w:val="left"/>
              <w:textAlignment w:val="auto"/>
              <w:rPr>
                <w:rFonts w:eastAsiaTheme="minorEastAsia"/>
                <w:sz w:val="18"/>
                <w:szCs w:val="18"/>
              </w:rPr>
            </w:pPr>
            <w:r>
              <w:rPr>
                <w:rFonts w:eastAsia="宋体"/>
                <w:sz w:val="18"/>
                <w:szCs w:val="18"/>
              </w:rPr>
              <w:t>Candidate options:</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Pr>
                <w:rFonts w:eastAsiaTheme="minorEastAsia"/>
                <w:sz w:val="18"/>
                <w:szCs w:val="18"/>
              </w:rPr>
              <w:t>Option 1: TDLA30-10</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Pr>
                <w:rFonts w:eastAsiaTheme="minorEastAsia"/>
                <w:sz w:val="18"/>
                <w:szCs w:val="18"/>
              </w:rPr>
              <w:t>Option 2: Consider TDLC300-100 and TDLA30-10 for handheld UE. For FWA devices, consider TDLA30-10 only.</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pPr>
            <w:r>
              <w:rPr>
                <w:rFonts w:eastAsiaTheme="minorEastAsia" w:hint="eastAsia"/>
                <w:sz w:val="18"/>
                <w:szCs w:val="18"/>
              </w:rPr>
              <w:t>O</w:t>
            </w:r>
            <w:r>
              <w:rPr>
                <w:rFonts w:eastAsiaTheme="minorEastAsia"/>
                <w:sz w:val="18"/>
                <w:szCs w:val="18"/>
              </w:rPr>
              <w:t>ption 3: TDLC300-100 for 2 interfering cells (</w:t>
            </w:r>
            <w:proofErr w:type="spellStart"/>
            <w:r>
              <w:rPr>
                <w:rFonts w:eastAsiaTheme="minorEastAsia"/>
                <w:sz w:val="18"/>
                <w:szCs w:val="18"/>
              </w:rPr>
              <w:t>HomNet</w:t>
            </w:r>
            <w:proofErr w:type="spellEnd"/>
            <w:r>
              <w:rPr>
                <w:rFonts w:eastAsiaTheme="minorEastAsia"/>
                <w:sz w:val="18"/>
                <w:szCs w:val="18"/>
              </w:rPr>
              <w:t>) and TDLA30-10 for 1 interfering cell (</w:t>
            </w:r>
            <w:proofErr w:type="spellStart"/>
            <w:r>
              <w:rPr>
                <w:rFonts w:eastAsiaTheme="minorEastAsia"/>
                <w:sz w:val="18"/>
                <w:szCs w:val="18"/>
              </w:rPr>
              <w:t>HetNet</w:t>
            </w:r>
            <w:proofErr w:type="spellEnd"/>
            <w:r>
              <w:rPr>
                <w:rFonts w:eastAsiaTheme="minorEastAsia"/>
                <w:sz w:val="18"/>
                <w:szCs w:val="18"/>
              </w:rPr>
              <w:t xml:space="preserve">) </w:t>
            </w:r>
          </w:p>
        </w:tc>
      </w:tr>
    </w:tbl>
    <w:p w:rsidR="000426B4" w:rsidRDefault="00ED1331">
      <w:pPr>
        <w:widowControl w:val="0"/>
        <w:spacing w:beforeLines="100" w:before="240" w:afterLines="0" w:line="240" w:lineRule="auto"/>
      </w:pPr>
      <w:r>
        <w:t>As discussed before, we don’t think that there is necessary to define the separate test case is defined for FWA and handheld UE from Rel-19 6Rx conclusion. Further, when defining 8Rx with interference scenarios in Rel-18, only TDLA 30-10 propagation condition is agreed for all inter-cell and intra-cell test cases. Therefore, from our point of view, we prefer to only consider TDLA30-10 propagation condition for all interference test cases.</w:t>
      </w:r>
    </w:p>
    <w:p w:rsidR="000426B4" w:rsidRDefault="00ED1331">
      <w:pPr>
        <w:widowControl w:val="0"/>
        <w:spacing w:beforeLines="100" w:before="240" w:afterLines="0" w:line="240" w:lineRule="auto"/>
        <w:rPr>
          <w:b/>
          <w:i/>
        </w:rPr>
      </w:pPr>
      <w:r>
        <w:rPr>
          <w:b/>
          <w:i/>
        </w:rPr>
        <w:lastRenderedPageBreak/>
        <w:t xml:space="preserve">Observation 2. Only TDLA30-10 propagation condition is agreed for Rel-18 8Rx </w:t>
      </w:r>
      <w:r>
        <w:rPr>
          <w:rFonts w:hint="eastAsia"/>
          <w:b/>
          <w:i/>
        </w:rPr>
        <w:t>with</w:t>
      </w:r>
      <w:r>
        <w:rPr>
          <w:b/>
          <w:i/>
        </w:rPr>
        <w:t xml:space="preserve"> </w:t>
      </w:r>
      <w:r>
        <w:rPr>
          <w:rFonts w:hint="eastAsia"/>
          <w:b/>
          <w:i/>
        </w:rPr>
        <w:t>inter</w:t>
      </w:r>
      <w:r>
        <w:rPr>
          <w:b/>
          <w:i/>
        </w:rPr>
        <w:t>ference and Rel-19 6Rx topics.</w:t>
      </w:r>
    </w:p>
    <w:p w:rsidR="000426B4" w:rsidRDefault="00ED1331">
      <w:pPr>
        <w:widowControl w:val="0"/>
        <w:spacing w:beforeLines="100" w:before="240" w:afterLines="0" w:line="240" w:lineRule="auto"/>
        <w:rPr>
          <w:b/>
          <w:bCs/>
          <w:i/>
          <w:iCs/>
          <w:szCs w:val="21"/>
        </w:rPr>
      </w:pPr>
      <w:r>
        <w:rPr>
          <w:rFonts w:hint="eastAsia"/>
          <w:b/>
          <w:bCs/>
          <w:i/>
          <w:iCs/>
          <w:szCs w:val="21"/>
        </w:rPr>
        <w:t>P</w:t>
      </w:r>
      <w:r>
        <w:rPr>
          <w:b/>
          <w:bCs/>
          <w:i/>
          <w:iCs/>
          <w:szCs w:val="21"/>
        </w:rPr>
        <w:t>roposal 3. Propose to only consider TDLA 30-10 as default propagation condition for Rel-20 6Rx interference scenarios.</w:t>
      </w:r>
    </w:p>
    <w:p w:rsidR="000426B4" w:rsidRDefault="00ED1331">
      <w:pPr>
        <w:spacing w:before="120" w:after="120"/>
        <w:rPr>
          <w:b/>
          <w:u w:val="single"/>
        </w:rPr>
      </w:pPr>
      <w:r>
        <w:rPr>
          <w:b/>
          <w:u w:val="single"/>
        </w:rPr>
        <w:t>MCS</w:t>
      </w:r>
    </w:p>
    <w:tbl>
      <w:tblPr>
        <w:tblStyle w:val="af3"/>
        <w:tblW w:w="0" w:type="auto"/>
        <w:tblLook w:val="04A0" w:firstRow="1" w:lastRow="0" w:firstColumn="1" w:lastColumn="0" w:noHBand="0" w:noVBand="1"/>
      </w:tblPr>
      <w:tblGrid>
        <w:gridCol w:w="9876"/>
      </w:tblGrid>
      <w:tr w:rsidR="000426B4">
        <w:tc>
          <w:tcPr>
            <w:tcW w:w="9876" w:type="dxa"/>
          </w:tcPr>
          <w:p w:rsidR="000426B4" w:rsidRDefault="00ED1331">
            <w:pPr>
              <w:pStyle w:val="af8"/>
              <w:numPr>
                <w:ilvl w:val="0"/>
                <w:numId w:val="8"/>
              </w:numPr>
              <w:overflowPunct/>
              <w:autoSpaceDE/>
              <w:adjustRightInd/>
              <w:snapToGrid w:val="0"/>
              <w:spacing w:before="120" w:afterLines="0" w:after="120"/>
              <w:ind w:left="284" w:hanging="284"/>
              <w:contextualSpacing w:val="0"/>
              <w:jc w:val="left"/>
              <w:textAlignment w:val="auto"/>
              <w:rPr>
                <w:rFonts w:eastAsiaTheme="minorEastAsia"/>
                <w:sz w:val="18"/>
                <w:szCs w:val="18"/>
              </w:rPr>
            </w:pPr>
            <w:r>
              <w:rPr>
                <w:rFonts w:eastAsia="宋体"/>
                <w:sz w:val="18"/>
                <w:szCs w:val="18"/>
              </w:rPr>
              <w:t>Candidate options:</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Pr>
                <w:rFonts w:eastAsiaTheme="minorEastAsia"/>
                <w:sz w:val="18"/>
                <w:szCs w:val="18"/>
              </w:rPr>
              <w:t>Option 1:</w:t>
            </w:r>
            <w:r>
              <w:rPr>
                <w:sz w:val="18"/>
                <w:szCs w:val="18"/>
              </w:rPr>
              <w:t xml:space="preserve"> </w:t>
            </w:r>
            <w:r>
              <w:rPr>
                <w:rFonts w:eastAsiaTheme="minorEastAsia"/>
                <w:sz w:val="18"/>
                <w:szCs w:val="18"/>
              </w:rPr>
              <w:t xml:space="preserve">MCS 17 for </w:t>
            </w:r>
            <w:proofErr w:type="spellStart"/>
            <w:r>
              <w:rPr>
                <w:rFonts w:eastAsiaTheme="minorEastAsia"/>
                <w:sz w:val="18"/>
                <w:szCs w:val="18"/>
              </w:rPr>
              <w:t>HomNet</w:t>
            </w:r>
            <w:proofErr w:type="spellEnd"/>
            <w:r>
              <w:rPr>
                <w:rFonts w:eastAsiaTheme="minorEastAsia"/>
                <w:sz w:val="18"/>
                <w:szCs w:val="18"/>
              </w:rPr>
              <w:t xml:space="preserve"> and MCS 13 for </w:t>
            </w:r>
            <w:proofErr w:type="spellStart"/>
            <w:r>
              <w:rPr>
                <w:rFonts w:eastAsiaTheme="minorEastAsia"/>
                <w:sz w:val="18"/>
                <w:szCs w:val="18"/>
              </w:rPr>
              <w:t>HetNet</w:t>
            </w:r>
            <w:proofErr w:type="spellEnd"/>
            <w:r>
              <w:rPr>
                <w:rFonts w:eastAsiaTheme="minorEastAsia"/>
                <w:sz w:val="18"/>
                <w:szCs w:val="18"/>
              </w:rPr>
              <w:t xml:space="preserve"> </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Pr>
                <w:rFonts w:eastAsiaTheme="minorEastAsia"/>
                <w:sz w:val="18"/>
                <w:szCs w:val="18"/>
              </w:rPr>
              <w:t>Option 2: MCS 17</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pPr>
            <w:r>
              <w:rPr>
                <w:rFonts w:eastAsiaTheme="minorEastAsia" w:hint="eastAsia"/>
                <w:sz w:val="18"/>
                <w:szCs w:val="18"/>
              </w:rPr>
              <w:t>O</w:t>
            </w:r>
            <w:r>
              <w:rPr>
                <w:rFonts w:eastAsiaTheme="minorEastAsia"/>
                <w:sz w:val="18"/>
                <w:szCs w:val="18"/>
              </w:rPr>
              <w:t>ption 3: MCS 17 for rank 2 and MCS 13 for rank 4</w:t>
            </w:r>
          </w:p>
        </w:tc>
      </w:tr>
    </w:tbl>
    <w:p w:rsidR="000426B4" w:rsidRDefault="00ED1331">
      <w:pPr>
        <w:widowControl w:val="0"/>
        <w:spacing w:beforeLines="100" w:before="240" w:afterLines="0" w:line="240" w:lineRule="auto"/>
      </w:pPr>
      <w:r>
        <w:rPr>
          <w:rFonts w:hint="eastAsia"/>
        </w:rPr>
        <w:t xml:space="preserve">In general, we want to define different MCSs for different MIMO layers. MCS 17 for rank 2 and MCS 13 for rank 4 have been verified the performance in our results. </w:t>
      </w:r>
    </w:p>
    <w:p w:rsidR="000426B4" w:rsidRDefault="00ED1331">
      <w:pPr>
        <w:widowControl w:val="0"/>
        <w:spacing w:beforeLines="100" w:before="240" w:afterLines="0" w:line="240" w:lineRule="auto"/>
        <w:rPr>
          <w:b/>
          <w:bCs/>
          <w:i/>
          <w:iCs/>
          <w:szCs w:val="21"/>
        </w:rPr>
      </w:pPr>
      <w:r>
        <w:rPr>
          <w:rFonts w:hint="eastAsia"/>
          <w:b/>
          <w:bCs/>
          <w:i/>
          <w:iCs/>
          <w:szCs w:val="21"/>
        </w:rPr>
        <w:t>P</w:t>
      </w:r>
      <w:r>
        <w:rPr>
          <w:b/>
          <w:bCs/>
          <w:i/>
          <w:iCs/>
          <w:szCs w:val="21"/>
        </w:rPr>
        <w:t xml:space="preserve">roposal </w:t>
      </w:r>
      <w:r>
        <w:rPr>
          <w:rFonts w:hint="eastAsia"/>
          <w:b/>
          <w:bCs/>
          <w:i/>
          <w:iCs/>
          <w:szCs w:val="21"/>
        </w:rPr>
        <w:t>4</w:t>
      </w:r>
      <w:r>
        <w:rPr>
          <w:b/>
          <w:bCs/>
          <w:i/>
          <w:iCs/>
          <w:szCs w:val="21"/>
        </w:rPr>
        <w:t xml:space="preserve">. Propose to </w:t>
      </w:r>
      <w:r>
        <w:rPr>
          <w:rFonts w:hint="eastAsia"/>
          <w:b/>
          <w:bCs/>
          <w:i/>
          <w:iCs/>
          <w:szCs w:val="21"/>
        </w:rPr>
        <w:t xml:space="preserve">consider MCS 17 for rank 2 and MCS 13 for rank 4 on inter-cell interference scenarios. </w:t>
      </w:r>
    </w:p>
    <w:p w:rsidR="000426B4" w:rsidRDefault="000426B4">
      <w:pPr>
        <w:widowControl w:val="0"/>
        <w:spacing w:beforeLines="100" w:before="240" w:afterLines="0" w:line="240" w:lineRule="auto"/>
        <w:rPr>
          <w:b/>
          <w:bCs/>
          <w:i/>
          <w:iCs/>
          <w:szCs w:val="21"/>
        </w:rPr>
      </w:pPr>
    </w:p>
    <w:p w:rsidR="000426B4" w:rsidRDefault="00ED1331">
      <w:pPr>
        <w:numPr>
          <w:ilvl w:val="1"/>
          <w:numId w:val="0"/>
        </w:numPr>
        <w:spacing w:before="120" w:after="120"/>
        <w:ind w:rightChars="100" w:right="210"/>
        <w:outlineLvl w:val="1"/>
        <w:rPr>
          <w:b/>
          <w:bCs/>
          <w:sz w:val="24"/>
          <w:szCs w:val="24"/>
        </w:rPr>
      </w:pPr>
      <w:r>
        <w:rPr>
          <w:rFonts w:hint="eastAsia"/>
          <w:b/>
          <w:bCs/>
          <w:sz w:val="24"/>
          <w:szCs w:val="24"/>
        </w:rPr>
        <w:t>Intra-cell inter</w:t>
      </w:r>
      <w:r>
        <w:rPr>
          <w:b/>
          <w:bCs/>
          <w:sz w:val="24"/>
          <w:szCs w:val="24"/>
        </w:rPr>
        <w:t>-</w:t>
      </w:r>
      <w:proofErr w:type="gramStart"/>
      <w:r>
        <w:rPr>
          <w:rFonts w:hint="eastAsia"/>
          <w:b/>
          <w:bCs/>
          <w:sz w:val="24"/>
          <w:szCs w:val="24"/>
        </w:rPr>
        <w:t>users</w:t>
      </w:r>
      <w:proofErr w:type="gramEnd"/>
      <w:r>
        <w:rPr>
          <w:rFonts w:hint="eastAsia"/>
          <w:b/>
          <w:bCs/>
          <w:sz w:val="24"/>
          <w:szCs w:val="24"/>
        </w:rPr>
        <w:t xml:space="preserve"> interference cancellation scenario</w:t>
      </w:r>
    </w:p>
    <w:p w:rsidR="000426B4" w:rsidRDefault="00ED1331">
      <w:pPr>
        <w:spacing w:before="120" w:after="120"/>
        <w:rPr>
          <w:b/>
          <w:u w:val="single"/>
        </w:rPr>
      </w:pPr>
      <w:r>
        <w:rPr>
          <w:b/>
          <w:u w:val="single"/>
        </w:rPr>
        <w:t>Propagation condition</w:t>
      </w:r>
    </w:p>
    <w:tbl>
      <w:tblPr>
        <w:tblStyle w:val="af3"/>
        <w:tblW w:w="0" w:type="auto"/>
        <w:tblLook w:val="04A0" w:firstRow="1" w:lastRow="0" w:firstColumn="1" w:lastColumn="0" w:noHBand="0" w:noVBand="1"/>
      </w:tblPr>
      <w:tblGrid>
        <w:gridCol w:w="9876"/>
      </w:tblGrid>
      <w:tr w:rsidR="000426B4">
        <w:tc>
          <w:tcPr>
            <w:tcW w:w="9876" w:type="dxa"/>
          </w:tcPr>
          <w:p w:rsidR="000426B4" w:rsidRDefault="00ED1331">
            <w:pPr>
              <w:pStyle w:val="af8"/>
              <w:numPr>
                <w:ilvl w:val="0"/>
                <w:numId w:val="8"/>
              </w:numPr>
              <w:overflowPunct/>
              <w:autoSpaceDE/>
              <w:adjustRightInd/>
              <w:snapToGrid w:val="0"/>
              <w:spacing w:before="120" w:afterLines="0" w:after="120"/>
              <w:ind w:left="284" w:hanging="284"/>
              <w:contextualSpacing w:val="0"/>
              <w:jc w:val="left"/>
              <w:textAlignment w:val="auto"/>
              <w:rPr>
                <w:rFonts w:eastAsiaTheme="minorEastAsia"/>
                <w:sz w:val="18"/>
                <w:szCs w:val="18"/>
              </w:rPr>
            </w:pPr>
            <w:r>
              <w:rPr>
                <w:rFonts w:eastAsia="宋体"/>
                <w:sz w:val="18"/>
                <w:szCs w:val="18"/>
              </w:rPr>
              <w:t>Candidate options:</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Pr>
                <w:rFonts w:eastAsiaTheme="minorEastAsia"/>
                <w:sz w:val="18"/>
                <w:szCs w:val="18"/>
              </w:rPr>
              <w:t>Option 1: TDLA30-10</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Pr>
                <w:rFonts w:eastAsiaTheme="minorEastAsia"/>
                <w:sz w:val="18"/>
                <w:szCs w:val="18"/>
              </w:rPr>
              <w:t>Option 2: Consider TDLC300-100 and TDLA30-10 for handheld UE. For FWA devices, consider TDLA30-10 only.</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pPr>
            <w:r>
              <w:rPr>
                <w:rFonts w:eastAsiaTheme="minorEastAsia" w:hint="eastAsia"/>
                <w:sz w:val="18"/>
                <w:szCs w:val="18"/>
              </w:rPr>
              <w:t>O</w:t>
            </w:r>
            <w:r>
              <w:rPr>
                <w:rFonts w:eastAsiaTheme="minorEastAsia"/>
                <w:sz w:val="18"/>
                <w:szCs w:val="18"/>
              </w:rPr>
              <w:t>ption 3: TDLC300-100 with rank 1+1 and TDLA30-10 with rank 2+2</w:t>
            </w:r>
          </w:p>
        </w:tc>
      </w:tr>
    </w:tbl>
    <w:p w:rsidR="000426B4" w:rsidRDefault="00ED1331">
      <w:pPr>
        <w:widowControl w:val="0"/>
        <w:spacing w:beforeLines="100" w:before="240" w:afterLines="0" w:line="240" w:lineRule="auto"/>
      </w:pPr>
      <w:r>
        <w:t>As discussed before, we don’t think that there is necessary to define the separate test case is defined for FWA and handheld UE from Rel-19 6Rx conclusion. Further, when defining 8Rx with interference scenarios in Rel-18, only TDLA 30-10 propagation condition is agreed for all inter-cell and intra-cell test cases. Therefore, from our point of view, we prefer to only consider TDLA30-10 propagation condition for all interference test cases.</w:t>
      </w:r>
    </w:p>
    <w:p w:rsidR="000426B4" w:rsidRDefault="00ED1331">
      <w:pPr>
        <w:widowControl w:val="0"/>
        <w:spacing w:beforeLines="100" w:before="240" w:afterLines="0" w:line="240" w:lineRule="auto"/>
        <w:rPr>
          <w:b/>
          <w:bCs/>
          <w:i/>
          <w:iCs/>
          <w:szCs w:val="21"/>
        </w:rPr>
      </w:pPr>
      <w:r>
        <w:rPr>
          <w:rFonts w:hint="eastAsia"/>
          <w:b/>
          <w:bCs/>
          <w:i/>
          <w:iCs/>
          <w:szCs w:val="21"/>
        </w:rPr>
        <w:t>P</w:t>
      </w:r>
      <w:r>
        <w:rPr>
          <w:b/>
          <w:bCs/>
          <w:i/>
          <w:iCs/>
          <w:szCs w:val="21"/>
        </w:rPr>
        <w:t>roposal 5. Propose to only consider TDLA 30-10 as default propagation condition for Rel-20 6Rx interference scenarios.</w:t>
      </w:r>
    </w:p>
    <w:p w:rsidR="000426B4" w:rsidRDefault="00ED1331">
      <w:pPr>
        <w:spacing w:before="120" w:after="120"/>
        <w:rPr>
          <w:b/>
          <w:u w:val="single"/>
        </w:rPr>
      </w:pPr>
      <w:r>
        <w:rPr>
          <w:b/>
          <w:u w:val="single"/>
        </w:rPr>
        <w:t>Precoding method for the co-scheduled UE</w:t>
      </w:r>
    </w:p>
    <w:tbl>
      <w:tblPr>
        <w:tblStyle w:val="af3"/>
        <w:tblW w:w="0" w:type="auto"/>
        <w:tblLook w:val="04A0" w:firstRow="1" w:lastRow="0" w:firstColumn="1" w:lastColumn="0" w:noHBand="0" w:noVBand="1"/>
      </w:tblPr>
      <w:tblGrid>
        <w:gridCol w:w="9876"/>
      </w:tblGrid>
      <w:tr w:rsidR="000426B4">
        <w:tc>
          <w:tcPr>
            <w:tcW w:w="9876" w:type="dxa"/>
          </w:tcPr>
          <w:p w:rsidR="000426B4" w:rsidRDefault="00ED1331">
            <w:pPr>
              <w:pStyle w:val="af8"/>
              <w:numPr>
                <w:ilvl w:val="0"/>
                <w:numId w:val="8"/>
              </w:numPr>
              <w:overflowPunct/>
              <w:autoSpaceDE/>
              <w:adjustRightInd/>
              <w:snapToGrid w:val="0"/>
              <w:spacing w:before="120" w:afterLines="0" w:after="120"/>
              <w:ind w:left="284" w:hanging="284"/>
              <w:contextualSpacing w:val="0"/>
              <w:jc w:val="left"/>
              <w:textAlignment w:val="auto"/>
              <w:rPr>
                <w:rFonts w:eastAsiaTheme="minorEastAsia"/>
                <w:sz w:val="18"/>
                <w:szCs w:val="18"/>
              </w:rPr>
            </w:pPr>
            <w:r>
              <w:rPr>
                <w:rFonts w:eastAsia="宋体"/>
                <w:sz w:val="18"/>
                <w:szCs w:val="18"/>
              </w:rPr>
              <w:t>Candidate options:</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Pr>
                <w:rFonts w:eastAsiaTheme="minorEastAsia"/>
                <w:sz w:val="18"/>
                <w:szCs w:val="18"/>
              </w:rPr>
              <w:t>Option 1: Random precoding with rank 1+1 and orthogonal precoding for rank 2+2 tests</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pPr>
            <w:r>
              <w:rPr>
                <w:rFonts w:eastAsiaTheme="minorEastAsia"/>
                <w:sz w:val="18"/>
                <w:szCs w:val="18"/>
              </w:rPr>
              <w:t>Option 2: Orthogonal precoding for rank 2+2 tests</w:t>
            </w:r>
          </w:p>
        </w:tc>
      </w:tr>
    </w:tbl>
    <w:p w:rsidR="000426B4" w:rsidRDefault="00ED1331">
      <w:pPr>
        <w:widowControl w:val="0"/>
        <w:spacing w:beforeLines="100" w:before="240" w:afterLines="0" w:line="240" w:lineRule="auto"/>
      </w:pPr>
      <w:r>
        <w:t xml:space="preserve">Based the last meeting agreement, we evaluated the Rank 1+1 and Rank </w:t>
      </w:r>
      <w:r>
        <w:rPr>
          <w:rFonts w:hint="eastAsia"/>
        </w:rPr>
        <w:t>2+2</w:t>
      </w:r>
      <w:r>
        <w:t xml:space="preserve"> </w:t>
      </w:r>
      <w:r>
        <w:rPr>
          <w:rFonts w:hint="eastAsia"/>
        </w:rPr>
        <w:t>t</w:t>
      </w:r>
      <w:r>
        <w:t xml:space="preserve">est cases, from our simulation results, </w:t>
      </w:r>
      <w:r>
        <w:rPr>
          <w:rFonts w:hint="eastAsia"/>
        </w:rPr>
        <w:t xml:space="preserve">random precoding with rank 1+1 and orthogonal precoding with rank 2+2 test cases also can achieve the SNR operation point of 70% maximum throughput for IRC receivers. </w:t>
      </w:r>
    </w:p>
    <w:p w:rsidR="000426B4" w:rsidRDefault="00ED1331">
      <w:pPr>
        <w:widowControl w:val="0"/>
        <w:spacing w:beforeLines="100" w:before="240" w:afterLines="0" w:line="240" w:lineRule="auto"/>
      </w:pPr>
      <w:r>
        <w:rPr>
          <w:rFonts w:hint="eastAsia"/>
          <w:b/>
          <w:bCs/>
          <w:i/>
          <w:iCs/>
          <w:szCs w:val="21"/>
        </w:rPr>
        <w:t>P</w:t>
      </w:r>
      <w:r>
        <w:rPr>
          <w:b/>
          <w:bCs/>
          <w:i/>
          <w:iCs/>
          <w:szCs w:val="21"/>
        </w:rPr>
        <w:t xml:space="preserve">roposal </w:t>
      </w:r>
      <w:r>
        <w:rPr>
          <w:rFonts w:hint="eastAsia"/>
          <w:b/>
          <w:bCs/>
          <w:i/>
          <w:iCs/>
          <w:szCs w:val="21"/>
        </w:rPr>
        <w:t>6. Propose to consider orthogonal precoding for rank 2+2 test cases and random precoding with rank 1+1 cases.</w:t>
      </w:r>
    </w:p>
    <w:p w:rsidR="000426B4" w:rsidRDefault="00ED1331">
      <w:pPr>
        <w:spacing w:before="120" w:after="120"/>
        <w:rPr>
          <w:b/>
          <w:u w:val="single"/>
        </w:rPr>
      </w:pPr>
      <w:r>
        <w:rPr>
          <w:b/>
          <w:u w:val="single"/>
        </w:rPr>
        <w:lastRenderedPageBreak/>
        <w:t>MCS for the target UE</w:t>
      </w:r>
    </w:p>
    <w:tbl>
      <w:tblPr>
        <w:tblStyle w:val="af3"/>
        <w:tblW w:w="0" w:type="auto"/>
        <w:tblLook w:val="04A0" w:firstRow="1" w:lastRow="0" w:firstColumn="1" w:lastColumn="0" w:noHBand="0" w:noVBand="1"/>
      </w:tblPr>
      <w:tblGrid>
        <w:gridCol w:w="9876"/>
      </w:tblGrid>
      <w:tr w:rsidR="000426B4">
        <w:tc>
          <w:tcPr>
            <w:tcW w:w="9876" w:type="dxa"/>
          </w:tcPr>
          <w:p w:rsidR="000426B4" w:rsidRDefault="00ED1331">
            <w:pPr>
              <w:pStyle w:val="af8"/>
              <w:numPr>
                <w:ilvl w:val="0"/>
                <w:numId w:val="8"/>
              </w:numPr>
              <w:overflowPunct/>
              <w:autoSpaceDE/>
              <w:adjustRightInd/>
              <w:snapToGrid w:val="0"/>
              <w:spacing w:before="120" w:afterLines="0" w:after="120"/>
              <w:ind w:left="284" w:hanging="284"/>
              <w:contextualSpacing w:val="0"/>
              <w:jc w:val="left"/>
              <w:textAlignment w:val="auto"/>
              <w:rPr>
                <w:rFonts w:eastAsiaTheme="minorEastAsia"/>
                <w:sz w:val="18"/>
                <w:szCs w:val="18"/>
              </w:rPr>
            </w:pPr>
            <w:r>
              <w:rPr>
                <w:rFonts w:eastAsia="宋体"/>
                <w:sz w:val="18"/>
                <w:szCs w:val="18"/>
              </w:rPr>
              <w:t>Candidate options:</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Pr>
                <w:rFonts w:eastAsiaTheme="minorEastAsia"/>
                <w:sz w:val="18"/>
                <w:szCs w:val="18"/>
              </w:rPr>
              <w:t>Option 1: MCS 17 (Table 1) for 2+2 case, and MCS19 (Table 1) for 1+1 case</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 w:val="18"/>
                <w:szCs w:val="18"/>
              </w:rPr>
            </w:pPr>
            <w:r>
              <w:rPr>
                <w:rFonts w:eastAsiaTheme="minorEastAsia" w:hint="eastAsia"/>
                <w:sz w:val="18"/>
                <w:szCs w:val="18"/>
              </w:rPr>
              <w:t>O</w:t>
            </w:r>
            <w:r>
              <w:rPr>
                <w:rFonts w:eastAsiaTheme="minorEastAsia"/>
                <w:sz w:val="18"/>
                <w:szCs w:val="18"/>
              </w:rPr>
              <w:t>ption 2: MCS 17 (Table 1) for 2+2 case</w:t>
            </w:r>
          </w:p>
          <w:p w:rsidR="000426B4" w:rsidRDefault="00ED1331">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pPr>
            <w:r>
              <w:rPr>
                <w:rFonts w:eastAsiaTheme="minorEastAsia" w:hint="eastAsia"/>
                <w:sz w:val="18"/>
                <w:szCs w:val="18"/>
              </w:rPr>
              <w:t>O</w:t>
            </w:r>
            <w:r>
              <w:rPr>
                <w:rFonts w:eastAsiaTheme="minorEastAsia"/>
                <w:sz w:val="18"/>
                <w:szCs w:val="18"/>
              </w:rPr>
              <w:t>ption 3: Cover MCS 13 and MCS 17 for evaluation</w:t>
            </w:r>
          </w:p>
        </w:tc>
      </w:tr>
    </w:tbl>
    <w:p w:rsidR="000426B4" w:rsidRDefault="00ED1331">
      <w:pPr>
        <w:widowControl w:val="0"/>
        <w:spacing w:beforeLines="100" w:before="240" w:afterLines="0" w:line="240" w:lineRule="auto"/>
      </w:pPr>
      <w:r>
        <w:t xml:space="preserve">We evaluated the different MCSs in our contribution, </w:t>
      </w:r>
      <w:r>
        <w:rPr>
          <w:rFonts w:hint="eastAsia"/>
        </w:rPr>
        <w:t xml:space="preserve">MCS 13 and MCS 19 for rank 1+1 cases, MCS 13 and MCS 17 for rank 2+2 test cases. All test cases can be achiever the SNR operation point under ULA low and ULA </w:t>
      </w:r>
      <m:oMath>
        <m:r>
          <m:rPr>
            <m:sty m:val="p"/>
          </m:rPr>
          <w:rPr>
            <w:rFonts w:ascii="Cambria Math" w:hAnsi="Cambria Math"/>
          </w:rPr>
          <m:t xml:space="preserve">α </m:t>
        </m:r>
      </m:oMath>
      <w:r>
        <w:t>= 0 and β = 0.07179</w:t>
      </w:r>
      <w:r>
        <w:rPr>
          <w:rFonts w:hint="eastAsia"/>
        </w:rPr>
        <w:t>. Considering the test purpose, we would like to consider higher MCS for rank 1+1 case and low MCS for rank 2+2 test cases. Therefore, MCS 17 (Table 1) for 2+2 case and MCS19 (Table 1) for 1+1 case are our preference.</w:t>
      </w:r>
    </w:p>
    <w:p w:rsidR="000426B4" w:rsidRDefault="00ED1331">
      <w:pPr>
        <w:widowControl w:val="0"/>
        <w:spacing w:beforeLines="100" w:before="240" w:afterLines="0" w:line="240" w:lineRule="auto"/>
        <w:rPr>
          <w:b/>
          <w:bCs/>
          <w:i/>
          <w:iCs/>
        </w:rPr>
      </w:pPr>
      <w:r>
        <w:rPr>
          <w:rFonts w:hint="eastAsia"/>
          <w:b/>
          <w:bCs/>
          <w:i/>
          <w:iCs/>
        </w:rPr>
        <w:t>Proposal 7. Propose to consider MCS 17 (Table 1) for 2+2 cases and MCS19 (Table 1) for 1+1 cases.</w:t>
      </w:r>
    </w:p>
    <w:p w:rsidR="000426B4" w:rsidRDefault="000426B4">
      <w:pPr>
        <w:widowControl w:val="0"/>
        <w:spacing w:beforeLines="100" w:before="240" w:afterLines="0" w:line="240" w:lineRule="auto"/>
        <w:rPr>
          <w:b/>
          <w:bCs/>
          <w:i/>
          <w:iCs/>
        </w:rPr>
      </w:pPr>
    </w:p>
    <w:p w:rsidR="000426B4" w:rsidRDefault="00ED1331">
      <w:pPr>
        <w:numPr>
          <w:ilvl w:val="1"/>
          <w:numId w:val="0"/>
        </w:numPr>
        <w:spacing w:before="120" w:after="120"/>
        <w:ind w:rightChars="100" w:right="210"/>
        <w:outlineLvl w:val="1"/>
        <w:rPr>
          <w:b/>
          <w:bCs/>
          <w:sz w:val="24"/>
          <w:szCs w:val="24"/>
        </w:rPr>
      </w:pPr>
      <w:r>
        <w:rPr>
          <w:rFonts w:hint="eastAsia"/>
          <w:b/>
          <w:bCs/>
          <w:sz w:val="24"/>
          <w:szCs w:val="24"/>
        </w:rPr>
        <w:t>CQI reporting requirements with inter-cell interference</w:t>
      </w:r>
    </w:p>
    <w:p w:rsidR="000426B4" w:rsidRDefault="000426B4">
      <w:pPr>
        <w:overflowPunct w:val="0"/>
        <w:autoSpaceDE w:val="0"/>
        <w:autoSpaceDN w:val="0"/>
        <w:adjustRightInd w:val="0"/>
        <w:spacing w:before="120" w:after="120"/>
        <w:jc w:val="left"/>
        <w:rPr>
          <w:rFonts w:eastAsia="等线"/>
          <w:b/>
          <w:kern w:val="0"/>
          <w:sz w:val="20"/>
          <w:u w:val="single"/>
          <w:lang w:bidi="ar"/>
        </w:rPr>
      </w:pPr>
    </w:p>
    <w:p w:rsidR="000426B4" w:rsidRDefault="00ED1331">
      <w:pPr>
        <w:overflowPunct w:val="0"/>
        <w:autoSpaceDE w:val="0"/>
        <w:autoSpaceDN w:val="0"/>
        <w:adjustRightInd w:val="0"/>
        <w:spacing w:before="120" w:after="120"/>
        <w:jc w:val="left"/>
        <w:rPr>
          <w:b/>
          <w:bCs/>
          <w:sz w:val="24"/>
          <w:szCs w:val="24"/>
        </w:rPr>
      </w:pPr>
      <w:r>
        <w:rPr>
          <w:rFonts w:eastAsia="等线"/>
          <w:b/>
          <w:kern w:val="0"/>
          <w:sz w:val="20"/>
          <w:u w:val="single"/>
          <w:lang w:bidi="ar"/>
        </w:rPr>
        <w:t>Whether to introduce CQI reporting requirements with inter-cell interference</w:t>
      </w:r>
    </w:p>
    <w:tbl>
      <w:tblPr>
        <w:tblStyle w:val="af3"/>
        <w:tblW w:w="0" w:type="auto"/>
        <w:tblLook w:val="04A0" w:firstRow="1" w:lastRow="0" w:firstColumn="1" w:lastColumn="0" w:noHBand="0" w:noVBand="1"/>
      </w:tblPr>
      <w:tblGrid>
        <w:gridCol w:w="9876"/>
      </w:tblGrid>
      <w:tr w:rsidR="000426B4">
        <w:tc>
          <w:tcPr>
            <w:tcW w:w="9876" w:type="dxa"/>
          </w:tcPr>
          <w:p w:rsidR="000426B4" w:rsidRDefault="00ED1331">
            <w:pPr>
              <w:pStyle w:val="13"/>
              <w:numPr>
                <w:ilvl w:val="0"/>
                <w:numId w:val="10"/>
              </w:numPr>
              <w:overflowPunct/>
              <w:autoSpaceDE/>
              <w:adjustRightInd/>
              <w:snapToGrid w:val="0"/>
              <w:spacing w:before="120" w:after="120"/>
              <w:ind w:left="284" w:firstLineChars="0" w:hanging="284"/>
              <w:rPr>
                <w:rFonts w:eastAsia="等线"/>
                <w:sz w:val="18"/>
                <w:szCs w:val="18"/>
              </w:rPr>
            </w:pPr>
            <w:r>
              <w:rPr>
                <w:rFonts w:eastAsia="宋体"/>
                <w:sz w:val="18"/>
                <w:szCs w:val="18"/>
              </w:rPr>
              <w:t>Candidate options:</w:t>
            </w:r>
          </w:p>
          <w:p w:rsidR="000426B4" w:rsidRDefault="00ED1331">
            <w:pPr>
              <w:widowControl w:val="0"/>
              <w:numPr>
                <w:ilvl w:val="1"/>
                <w:numId w:val="11"/>
              </w:numPr>
              <w:tabs>
                <w:tab w:val="left" w:pos="484"/>
                <w:tab w:val="left" w:pos="709"/>
                <w:tab w:val="left" w:pos="1440"/>
                <w:tab w:val="left" w:pos="1702"/>
              </w:tabs>
              <w:snapToGrid w:val="0"/>
              <w:spacing w:before="120" w:after="120"/>
              <w:ind w:leftChars="213" w:left="730" w:hanging="283"/>
              <w:jc w:val="left"/>
              <w:rPr>
                <w:sz w:val="18"/>
                <w:szCs w:val="18"/>
              </w:rPr>
            </w:pPr>
            <w:r>
              <w:rPr>
                <w:rFonts w:eastAsia="等线"/>
                <w:kern w:val="0"/>
                <w:sz w:val="18"/>
                <w:szCs w:val="18"/>
                <w:lang w:bidi="ar"/>
              </w:rPr>
              <w:t xml:space="preserve">Option 1: No matter how RAN4 will design the CQI reporting tests for basic 6Rx, there is necessity to define CQI reporting requirements with inter-cell interference. </w:t>
            </w:r>
          </w:p>
          <w:p w:rsidR="000426B4" w:rsidRDefault="00ED1331">
            <w:pPr>
              <w:widowControl w:val="0"/>
              <w:numPr>
                <w:ilvl w:val="1"/>
                <w:numId w:val="11"/>
              </w:numPr>
              <w:tabs>
                <w:tab w:val="left" w:pos="484"/>
                <w:tab w:val="left" w:pos="709"/>
                <w:tab w:val="left" w:pos="1440"/>
                <w:tab w:val="left" w:pos="1702"/>
              </w:tabs>
              <w:snapToGrid w:val="0"/>
              <w:spacing w:before="120" w:after="120"/>
              <w:ind w:leftChars="213" w:left="730" w:hanging="283"/>
              <w:jc w:val="left"/>
              <w:rPr>
                <w:b/>
                <w:bCs/>
                <w:i/>
                <w:iCs/>
                <w:szCs w:val="21"/>
              </w:rPr>
            </w:pPr>
            <w:r>
              <w:rPr>
                <w:rFonts w:eastAsia="等线"/>
                <w:kern w:val="0"/>
                <w:sz w:val="18"/>
                <w:szCs w:val="18"/>
                <w:lang w:bidi="ar"/>
              </w:rPr>
              <w:t>Option 2: Don’t define CQI reporting requirements with inter-cell interference for 6Rx</w:t>
            </w:r>
          </w:p>
        </w:tc>
      </w:tr>
    </w:tbl>
    <w:p w:rsidR="000426B4" w:rsidRDefault="00ED1331">
      <w:pPr>
        <w:widowControl w:val="0"/>
        <w:spacing w:beforeLines="100" w:before="240" w:afterLines="0" w:line="240" w:lineRule="auto"/>
      </w:pPr>
      <w:r>
        <w:rPr>
          <w:rFonts w:hint="eastAsia"/>
        </w:rPr>
        <w:t xml:space="preserve">In the last meeting, CQI reporting requirements with Rank 4 under static channel is agreed to define in Rel-19 6Rx.  In Rel-18 8Rx with interference, CQI reporting requirements with inter-ell interference is also defined. Therefore, we think that define CQI reporting requirements with inter-cell interference is reasonable. </w:t>
      </w:r>
    </w:p>
    <w:p w:rsidR="000426B4" w:rsidRDefault="00ED1331">
      <w:pPr>
        <w:widowControl w:val="0"/>
        <w:spacing w:beforeLines="100" w:before="240" w:afterLines="0" w:line="240" w:lineRule="auto"/>
        <w:rPr>
          <w:b/>
          <w:bCs/>
          <w:i/>
          <w:iCs/>
          <w:szCs w:val="21"/>
        </w:rPr>
      </w:pPr>
      <w:r>
        <w:rPr>
          <w:rFonts w:hint="eastAsia"/>
          <w:b/>
          <w:bCs/>
          <w:i/>
          <w:iCs/>
          <w:szCs w:val="21"/>
        </w:rPr>
        <w:t>Proposal 8. Propose to define CQI reporting requirements with inter-cell interference.</w:t>
      </w:r>
    </w:p>
    <w:p w:rsidR="000426B4" w:rsidRDefault="000426B4">
      <w:pPr>
        <w:widowControl w:val="0"/>
        <w:spacing w:beforeLines="100" w:before="240" w:afterLines="0" w:line="240" w:lineRule="auto"/>
      </w:pPr>
    </w:p>
    <w:p w:rsidR="000426B4" w:rsidRDefault="000426B4">
      <w:pPr>
        <w:widowControl w:val="0"/>
        <w:spacing w:beforeLines="100" w:before="240" w:afterLines="0" w:line="240" w:lineRule="auto"/>
        <w:rPr>
          <w:b/>
          <w:bCs/>
          <w:i/>
          <w:iCs/>
          <w:szCs w:val="21"/>
        </w:rPr>
      </w:pPr>
    </w:p>
    <w:p w:rsidR="000426B4" w:rsidRDefault="000426B4">
      <w:pPr>
        <w:widowControl w:val="0"/>
        <w:spacing w:beforeLines="100" w:before="240" w:afterLines="0" w:line="240" w:lineRule="auto"/>
        <w:rPr>
          <w:b/>
          <w:bCs/>
          <w:i/>
          <w:iCs/>
          <w:szCs w:val="21"/>
        </w:rPr>
      </w:pPr>
    </w:p>
    <w:p w:rsidR="000426B4" w:rsidRDefault="00ED1331">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0426B4" w:rsidRDefault="00ED1331">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bCs/>
          <w:kern w:val="0"/>
          <w:szCs w:val="21"/>
        </w:rPr>
        <w:t>6Rx UE with interference, t</w:t>
      </w:r>
      <w:r>
        <w:rPr>
          <w:rFonts w:hint="eastAsia"/>
          <w:bCs/>
          <w:kern w:val="0"/>
          <w:szCs w:val="21"/>
        </w:rPr>
        <w:t>he conclusions are:</w:t>
      </w:r>
    </w:p>
    <w:p w:rsidR="000426B4" w:rsidRDefault="00ED1331">
      <w:pPr>
        <w:widowControl w:val="0"/>
        <w:spacing w:beforeLines="100" w:before="240" w:afterLines="0" w:line="240" w:lineRule="auto"/>
        <w:rPr>
          <w:b/>
          <w:i/>
        </w:rPr>
      </w:pPr>
      <w:r>
        <w:rPr>
          <w:rFonts w:hint="eastAsia"/>
          <w:b/>
          <w:i/>
        </w:rPr>
        <w:t xml:space="preserve">Observation 1, From our simulation results, both ULA low and ULA with </w:t>
      </w:r>
      <m:oMath>
        <m:r>
          <m:rPr>
            <m:sty m:val="bi"/>
          </m:rPr>
          <w:rPr>
            <w:rFonts w:ascii="Cambria Math" w:hAnsi="Cambria Math"/>
          </w:rPr>
          <m:t xml:space="preserve">α </m:t>
        </m:r>
      </m:oMath>
      <w:r>
        <w:rPr>
          <w:b/>
          <w:i/>
        </w:rPr>
        <w:t>= 0 and β = 0.07179</w:t>
      </w:r>
      <w:r>
        <w:rPr>
          <w:rFonts w:hint="eastAsia"/>
          <w:b/>
          <w:i/>
        </w:rPr>
        <w:t xml:space="preserve"> also achieve the SNR operation point of 70 % maximum throughput.</w:t>
      </w:r>
    </w:p>
    <w:p w:rsidR="000426B4" w:rsidRDefault="00ED1331">
      <w:pPr>
        <w:widowControl w:val="0"/>
        <w:spacing w:beforeLines="100" w:before="240" w:afterLines="0" w:line="240" w:lineRule="auto"/>
        <w:rPr>
          <w:b/>
          <w:i/>
        </w:rPr>
      </w:pPr>
      <w:r>
        <w:rPr>
          <w:b/>
          <w:i/>
        </w:rPr>
        <w:t xml:space="preserve">Observation 2. Only TDLA30-10 propagation condition is agreed for Rel-18 8Rx </w:t>
      </w:r>
      <w:r>
        <w:rPr>
          <w:rFonts w:hint="eastAsia"/>
          <w:b/>
          <w:i/>
        </w:rPr>
        <w:t>with</w:t>
      </w:r>
      <w:r>
        <w:rPr>
          <w:b/>
          <w:i/>
        </w:rPr>
        <w:t xml:space="preserve"> </w:t>
      </w:r>
      <w:r>
        <w:rPr>
          <w:rFonts w:hint="eastAsia"/>
          <w:b/>
          <w:i/>
        </w:rPr>
        <w:t>inter</w:t>
      </w:r>
      <w:r>
        <w:rPr>
          <w:b/>
          <w:i/>
        </w:rPr>
        <w:t>ference and Rel-19 6Rx topics.</w:t>
      </w:r>
    </w:p>
    <w:p w:rsidR="000426B4" w:rsidRDefault="00ED1331">
      <w:pPr>
        <w:widowControl w:val="0"/>
        <w:spacing w:beforeLines="100" w:before="240" w:afterLines="0" w:line="240" w:lineRule="auto"/>
        <w:rPr>
          <w:b/>
          <w:i/>
        </w:rPr>
      </w:pPr>
      <w:r>
        <w:rPr>
          <w:b/>
          <w:i/>
        </w:rPr>
        <w:t>Proposal 1. Propose to define only one test case for both FWA and handheld UE devices.</w:t>
      </w:r>
    </w:p>
    <w:p w:rsidR="000426B4" w:rsidRDefault="00ED1331">
      <w:pPr>
        <w:widowControl w:val="0"/>
        <w:spacing w:beforeLines="100" w:before="240" w:afterLines="0" w:line="240" w:lineRule="auto"/>
        <w:rPr>
          <w:b/>
          <w:i/>
        </w:rPr>
      </w:pPr>
      <w:r>
        <w:rPr>
          <w:rFonts w:hint="eastAsia"/>
          <w:b/>
          <w:i/>
        </w:rPr>
        <w:lastRenderedPageBreak/>
        <w:t>P</w:t>
      </w:r>
      <w:r>
        <w:rPr>
          <w:b/>
          <w:i/>
        </w:rPr>
        <w:t xml:space="preserve">roposal 2. Propose to </w:t>
      </w:r>
      <w:r>
        <w:rPr>
          <w:rFonts w:hint="eastAsia"/>
          <w:b/>
          <w:i/>
        </w:rPr>
        <w:t>follow the decision of antenna correlation in the Rel-19 6Rx.</w:t>
      </w:r>
    </w:p>
    <w:p w:rsidR="000426B4" w:rsidRDefault="00ED1331">
      <w:pPr>
        <w:widowControl w:val="0"/>
        <w:spacing w:beforeLines="100" w:before="240" w:afterLines="0" w:line="240" w:lineRule="auto"/>
        <w:rPr>
          <w:b/>
          <w:bCs/>
          <w:i/>
          <w:iCs/>
          <w:szCs w:val="21"/>
        </w:rPr>
      </w:pPr>
      <w:r>
        <w:rPr>
          <w:rFonts w:hint="eastAsia"/>
          <w:b/>
          <w:bCs/>
          <w:i/>
          <w:iCs/>
          <w:szCs w:val="21"/>
        </w:rPr>
        <w:t>P</w:t>
      </w:r>
      <w:r>
        <w:rPr>
          <w:b/>
          <w:bCs/>
          <w:i/>
          <w:iCs/>
          <w:szCs w:val="21"/>
        </w:rPr>
        <w:t>roposal 3. Propose to only consider TDLA 30-10 as default propagation condition for Rel-20 6Rx interference scenarios.</w:t>
      </w:r>
    </w:p>
    <w:p w:rsidR="000426B4" w:rsidRDefault="00ED1331">
      <w:pPr>
        <w:widowControl w:val="0"/>
        <w:spacing w:beforeLines="100" w:before="240" w:afterLines="0" w:line="240" w:lineRule="auto"/>
        <w:rPr>
          <w:b/>
          <w:i/>
        </w:rPr>
      </w:pPr>
      <w:r>
        <w:rPr>
          <w:rFonts w:hint="eastAsia"/>
          <w:b/>
          <w:bCs/>
          <w:i/>
          <w:iCs/>
          <w:szCs w:val="21"/>
        </w:rPr>
        <w:t>P</w:t>
      </w:r>
      <w:r>
        <w:rPr>
          <w:b/>
          <w:bCs/>
          <w:i/>
          <w:iCs/>
          <w:szCs w:val="21"/>
        </w:rPr>
        <w:t xml:space="preserve">roposal </w:t>
      </w:r>
      <w:r>
        <w:rPr>
          <w:rFonts w:hint="eastAsia"/>
          <w:b/>
          <w:bCs/>
          <w:i/>
          <w:iCs/>
          <w:szCs w:val="21"/>
        </w:rPr>
        <w:t>4</w:t>
      </w:r>
      <w:r>
        <w:rPr>
          <w:b/>
          <w:bCs/>
          <w:i/>
          <w:iCs/>
          <w:szCs w:val="21"/>
        </w:rPr>
        <w:t xml:space="preserve">. Propose to </w:t>
      </w:r>
      <w:r>
        <w:rPr>
          <w:rFonts w:hint="eastAsia"/>
          <w:b/>
          <w:bCs/>
          <w:i/>
          <w:iCs/>
          <w:szCs w:val="21"/>
        </w:rPr>
        <w:t>consider MCS 17 for rank 2 and MCS 13 for rank 4 on inter-cell interference scenarios</w:t>
      </w:r>
    </w:p>
    <w:p w:rsidR="000426B4" w:rsidRDefault="00ED1331">
      <w:pPr>
        <w:widowControl w:val="0"/>
        <w:spacing w:beforeLines="100" w:before="240" w:afterLines="0" w:line="240" w:lineRule="auto"/>
        <w:rPr>
          <w:b/>
          <w:bCs/>
          <w:i/>
          <w:iCs/>
          <w:szCs w:val="21"/>
        </w:rPr>
      </w:pPr>
      <w:r>
        <w:rPr>
          <w:rFonts w:hint="eastAsia"/>
          <w:b/>
          <w:bCs/>
          <w:i/>
          <w:iCs/>
          <w:szCs w:val="21"/>
        </w:rPr>
        <w:t>P</w:t>
      </w:r>
      <w:r>
        <w:rPr>
          <w:b/>
          <w:bCs/>
          <w:i/>
          <w:iCs/>
          <w:szCs w:val="21"/>
        </w:rPr>
        <w:t>roposal 5. Propose to only consider TDLA 30-10 as default propagation condition for Rel-20 6Rx interference scenarios.</w:t>
      </w:r>
    </w:p>
    <w:p w:rsidR="000426B4" w:rsidRDefault="00ED1331">
      <w:pPr>
        <w:widowControl w:val="0"/>
        <w:spacing w:beforeLines="100" w:before="240" w:afterLines="0" w:line="240" w:lineRule="auto"/>
      </w:pPr>
      <w:r>
        <w:rPr>
          <w:rFonts w:hint="eastAsia"/>
          <w:b/>
          <w:bCs/>
          <w:i/>
          <w:iCs/>
          <w:szCs w:val="21"/>
        </w:rPr>
        <w:t>P</w:t>
      </w:r>
      <w:r>
        <w:rPr>
          <w:b/>
          <w:bCs/>
          <w:i/>
          <w:iCs/>
          <w:szCs w:val="21"/>
        </w:rPr>
        <w:t xml:space="preserve">roposal </w:t>
      </w:r>
      <w:r>
        <w:rPr>
          <w:rFonts w:hint="eastAsia"/>
          <w:b/>
          <w:bCs/>
          <w:i/>
          <w:iCs/>
          <w:szCs w:val="21"/>
        </w:rPr>
        <w:t>6. Propose to consider orthogonal precoding for rank 2+2 test cases and random precoding with rank 1+1 cases.</w:t>
      </w:r>
    </w:p>
    <w:p w:rsidR="000426B4" w:rsidRDefault="00ED1331">
      <w:pPr>
        <w:widowControl w:val="0"/>
        <w:spacing w:beforeLines="100" w:before="240" w:afterLines="0" w:line="240" w:lineRule="auto"/>
        <w:rPr>
          <w:b/>
          <w:bCs/>
          <w:i/>
          <w:iCs/>
        </w:rPr>
      </w:pPr>
      <w:r>
        <w:rPr>
          <w:rFonts w:hint="eastAsia"/>
          <w:b/>
          <w:bCs/>
          <w:i/>
          <w:iCs/>
        </w:rPr>
        <w:t>Proposal 7. Propose to consider MCS 17 (Table 1) for 2+2 cases and MCS19 (Table 1) for 1+1 cases.</w:t>
      </w:r>
    </w:p>
    <w:p w:rsidR="000426B4" w:rsidRDefault="00ED1331">
      <w:pPr>
        <w:widowControl w:val="0"/>
        <w:spacing w:beforeLines="100" w:before="240" w:afterLines="0" w:line="240" w:lineRule="auto"/>
        <w:rPr>
          <w:b/>
          <w:bCs/>
          <w:i/>
          <w:iCs/>
          <w:szCs w:val="21"/>
        </w:rPr>
      </w:pPr>
      <w:r>
        <w:rPr>
          <w:rFonts w:hint="eastAsia"/>
          <w:b/>
          <w:bCs/>
          <w:i/>
          <w:iCs/>
          <w:szCs w:val="21"/>
        </w:rPr>
        <w:t>Proposal 8. Propose to define CQI reporting requirements with inter-cell interference.</w:t>
      </w:r>
    </w:p>
    <w:p w:rsidR="000426B4" w:rsidRDefault="000426B4">
      <w:pPr>
        <w:widowControl w:val="0"/>
        <w:spacing w:beforeLines="100" w:before="240" w:afterLines="0" w:line="240" w:lineRule="auto"/>
        <w:rPr>
          <w:b/>
          <w:bCs/>
          <w:i/>
          <w:iCs/>
          <w:szCs w:val="21"/>
        </w:rPr>
      </w:pPr>
    </w:p>
    <w:p w:rsidR="000426B4" w:rsidRDefault="00ED1331">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0426B4" w:rsidRDefault="000426B4">
      <w:pPr>
        <w:widowControl w:val="0"/>
        <w:pBdr>
          <w:top w:val="single" w:sz="12" w:space="3" w:color="auto"/>
        </w:pBdr>
        <w:spacing w:beforeLines="0" w:afterLines="0"/>
        <w:jc w:val="left"/>
        <w:rPr>
          <w:b/>
          <w:kern w:val="0"/>
          <w:sz w:val="24"/>
          <w:szCs w:val="24"/>
        </w:rPr>
      </w:pPr>
    </w:p>
    <w:p w:rsidR="000426B4" w:rsidRDefault="00ED1331">
      <w:pPr>
        <w:pStyle w:val="af8"/>
        <w:numPr>
          <w:ilvl w:val="0"/>
          <w:numId w:val="12"/>
        </w:numPr>
        <w:spacing w:afterLines="0" w:line="259" w:lineRule="auto"/>
        <w:ind w:right="-22"/>
        <w:jc w:val="left"/>
        <w:rPr>
          <w:rFonts w:eastAsiaTheme="minorHAnsi" w:cstheme="minorBidi"/>
          <w:kern w:val="0"/>
          <w:sz w:val="21"/>
          <w:szCs w:val="21"/>
          <w:lang w:eastAsia="en-US"/>
        </w:rPr>
      </w:pPr>
      <w:r>
        <w:rPr>
          <w:rFonts w:eastAsia="宋体" w:cstheme="minorBidi" w:hint="eastAsia"/>
          <w:kern w:val="0"/>
          <w:sz w:val="21"/>
          <w:szCs w:val="21"/>
        </w:rPr>
        <w:t xml:space="preserve">RP- </w:t>
      </w:r>
      <w:r>
        <w:rPr>
          <w:rFonts w:eastAsia="宋体" w:cstheme="minorBidi"/>
          <w:kern w:val="0"/>
          <w:sz w:val="21"/>
          <w:szCs w:val="21"/>
        </w:rPr>
        <w:t xml:space="preserve">252957, WID: NR demodulation performance: Phase 6. </w:t>
      </w:r>
    </w:p>
    <w:p w:rsidR="000426B4" w:rsidRDefault="00ED1331">
      <w:pPr>
        <w:pStyle w:val="af8"/>
        <w:numPr>
          <w:ilvl w:val="0"/>
          <w:numId w:val="12"/>
        </w:numPr>
        <w:spacing w:afterLines="0" w:line="259" w:lineRule="auto"/>
        <w:ind w:right="-22"/>
        <w:jc w:val="left"/>
        <w:rPr>
          <w:rFonts w:eastAsiaTheme="minorHAnsi" w:cstheme="minorBidi"/>
          <w:kern w:val="0"/>
          <w:sz w:val="21"/>
          <w:szCs w:val="21"/>
          <w:lang w:eastAsia="en-US"/>
        </w:rPr>
      </w:pPr>
      <w:r>
        <w:rPr>
          <w:rFonts w:eastAsia="宋体" w:cstheme="minorBidi"/>
          <w:kern w:val="0"/>
          <w:sz w:val="21"/>
          <w:szCs w:val="21"/>
        </w:rPr>
        <w:t>R4-2514823, WF on NR_demod_Ph6_Ph5.</w:t>
      </w:r>
    </w:p>
    <w:p w:rsidR="000426B4" w:rsidRDefault="00ED1331">
      <w:pPr>
        <w:pStyle w:val="af8"/>
        <w:numPr>
          <w:ilvl w:val="0"/>
          <w:numId w:val="12"/>
        </w:numPr>
        <w:spacing w:afterLines="0" w:line="259" w:lineRule="auto"/>
        <w:ind w:right="-22"/>
        <w:jc w:val="left"/>
        <w:rPr>
          <w:rFonts w:eastAsiaTheme="minorHAnsi" w:cstheme="minorBidi"/>
          <w:kern w:val="0"/>
          <w:sz w:val="21"/>
          <w:szCs w:val="21"/>
          <w:lang w:eastAsia="en-US"/>
        </w:rPr>
      </w:pPr>
      <w:r>
        <w:rPr>
          <w:rFonts w:eastAsiaTheme="minorEastAsia" w:cstheme="minorBidi" w:hint="eastAsia"/>
          <w:kern w:val="0"/>
          <w:sz w:val="21"/>
          <w:szCs w:val="21"/>
        </w:rPr>
        <w:t>R</w:t>
      </w:r>
      <w:r>
        <w:rPr>
          <w:rFonts w:eastAsiaTheme="minorEastAsia" w:cstheme="minorBidi"/>
          <w:kern w:val="0"/>
          <w:sz w:val="21"/>
          <w:szCs w:val="21"/>
        </w:rPr>
        <w:t xml:space="preserve">4-251xxxx, Simulation results on performance requirements for 6Rx UE with interference, ZTE Corporation, </w:t>
      </w:r>
      <w:proofErr w:type="spellStart"/>
      <w:r>
        <w:rPr>
          <w:rFonts w:eastAsiaTheme="minorEastAsia" w:cstheme="minorBidi"/>
          <w:kern w:val="0"/>
          <w:sz w:val="21"/>
          <w:szCs w:val="21"/>
        </w:rPr>
        <w:t>Sanechips</w:t>
      </w:r>
      <w:proofErr w:type="spellEnd"/>
      <w:r>
        <w:rPr>
          <w:rFonts w:eastAsiaTheme="minorEastAsia" w:cstheme="minorBidi"/>
          <w:kern w:val="0"/>
          <w:sz w:val="21"/>
          <w:szCs w:val="21"/>
        </w:rPr>
        <w:t>.</w:t>
      </w:r>
    </w:p>
    <w:sectPr w:rsidR="000426B4">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5602" w:rsidRDefault="00FF5602">
      <w:pPr>
        <w:spacing w:before="120" w:after="120" w:line="240" w:lineRule="auto"/>
      </w:pPr>
      <w:r>
        <w:separator/>
      </w:r>
    </w:p>
  </w:endnote>
  <w:endnote w:type="continuationSeparator" w:id="0">
    <w:p w:rsidR="00FF5602" w:rsidRDefault="00FF5602">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0426B4" w:rsidRDefault="00ED1331">
        <w:pPr>
          <w:pStyle w:val="aa"/>
          <w:spacing w:before="120" w:after="120"/>
          <w:jc w:val="center"/>
        </w:pPr>
        <w:r>
          <w:fldChar w:fldCharType="begin"/>
        </w:r>
        <w:r>
          <w:instrText xml:space="preserve"> PAGE   \* MERGEFORMAT </w:instrText>
        </w:r>
        <w:r>
          <w:fldChar w:fldCharType="separate"/>
        </w:r>
        <w:r>
          <w:t>2</w:t>
        </w:r>
        <w:r>
          <w:fldChar w:fldCharType="end"/>
        </w:r>
      </w:p>
    </w:sdtContent>
  </w:sdt>
  <w:p w:rsidR="000426B4" w:rsidRDefault="000426B4">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5602" w:rsidRDefault="00FF5602">
      <w:pPr>
        <w:spacing w:before="120" w:after="120"/>
      </w:pPr>
      <w:r>
        <w:separator/>
      </w:r>
    </w:p>
  </w:footnote>
  <w:footnote w:type="continuationSeparator" w:id="0">
    <w:p w:rsidR="00FF5602" w:rsidRDefault="00FF5602">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A7253B5D"/>
    <w:multiLevelType w:val="multilevel"/>
    <w:tmpl w:val="A7253B5D"/>
    <w:lvl w:ilvl="0">
      <w:start w:val="1"/>
      <w:numFmt w:val="bullet"/>
      <w:lvlText w:val=""/>
      <w:lvlJc w:val="left"/>
      <w:pPr>
        <w:ind w:left="936" w:hanging="360"/>
      </w:pPr>
      <w:rPr>
        <w:rFonts w:ascii="Symbol" w:hAnsi="Symbol" w:cs="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2"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D8639B1"/>
    <w:multiLevelType w:val="multilevel"/>
    <w:tmpl w:val="2D8639B1"/>
    <w:lvl w:ilvl="0">
      <w:start w:val="1"/>
      <w:numFmt w:val="bullet"/>
      <w:lvlText w:val=""/>
      <w:lvlJc w:val="left"/>
      <w:pPr>
        <w:tabs>
          <w:tab w:val="left" w:pos="0"/>
        </w:tabs>
        <w:ind w:left="420" w:hanging="420"/>
      </w:pPr>
      <w:rPr>
        <w:rFonts w:ascii="Symbol" w:hAnsi="Symbol" w:cs="Symbol" w:hint="default"/>
      </w:rPr>
    </w:lvl>
    <w:lvl w:ilvl="1">
      <w:start w:val="2"/>
      <w:numFmt w:val="bullet"/>
      <w:lvlText w:val="-"/>
      <w:lvlJc w:val="left"/>
      <w:pPr>
        <w:tabs>
          <w:tab w:val="left" w:pos="0"/>
        </w:tabs>
        <w:ind w:left="840" w:hanging="420"/>
      </w:pPr>
      <w:rPr>
        <w:rFonts w:ascii="Segoe UI" w:hAnsi="Segoe UI" w:cs="Segoe U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numFmt w:val="bullet"/>
      <w:lvlText w:val="·"/>
      <w:lvlJc w:val="left"/>
      <w:pPr>
        <w:tabs>
          <w:tab w:val="left" w:pos="0"/>
        </w:tabs>
        <w:ind w:left="2100" w:hanging="420"/>
      </w:pPr>
      <w:rPr>
        <w:rFonts w:ascii="Times New Roman" w:hAnsi="Times New Roman" w:cs="Times New Roman"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51154BA6"/>
    <w:multiLevelType w:val="multilevel"/>
    <w:tmpl w:val="51154BA6"/>
    <w:lvl w:ilvl="0">
      <w:start w:val="1"/>
      <w:numFmt w:val="bullet"/>
      <w:lvlText w:val=""/>
      <w:lvlJc w:val="left"/>
      <w:pPr>
        <w:ind w:left="936" w:hanging="360"/>
      </w:pPr>
      <w:rPr>
        <w:rFonts w:ascii="Symbol" w:hAnsi="Symbol" w:cs="Symbol"/>
      </w:rPr>
    </w:lvl>
    <w:lvl w:ilvl="1">
      <w:start w:val="1"/>
      <w:numFmt w:val="bullet"/>
      <w:lvlText w:val="–"/>
      <w:lvlJc w:val="left"/>
      <w:pPr>
        <w:ind w:left="927" w:hanging="360"/>
      </w:pPr>
      <w:rPr>
        <w:rFonts w:ascii="Arial" w:hAnsi="Arial" w:cs="Times New Roman"/>
        <w:color w:val="auto"/>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3"/>
  </w:num>
  <w:num w:numId="2">
    <w:abstractNumId w:val="11"/>
  </w:num>
  <w:num w:numId="3">
    <w:abstractNumId w:val="6"/>
  </w:num>
  <w:num w:numId="4">
    <w:abstractNumId w:val="7"/>
  </w:num>
  <w:num w:numId="5">
    <w:abstractNumId w:val="2"/>
  </w:num>
  <w:num w:numId="6">
    <w:abstractNumId w:val="0"/>
  </w:num>
  <w:num w:numId="7">
    <w:abstractNumId w:val="5"/>
  </w:num>
  <w:num w:numId="8">
    <w:abstractNumId w:val="9"/>
  </w:num>
  <w:num w:numId="9">
    <w:abstractNumId w:val="4"/>
  </w:num>
  <w:num w:numId="10">
    <w:abstractNumId w:val="1"/>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426B4"/>
    <w:rsid w:val="00055E90"/>
    <w:rsid w:val="0006398D"/>
    <w:rsid w:val="00073869"/>
    <w:rsid w:val="0008331E"/>
    <w:rsid w:val="00083BF0"/>
    <w:rsid w:val="000854F3"/>
    <w:rsid w:val="000913AF"/>
    <w:rsid w:val="0009232B"/>
    <w:rsid w:val="000A4133"/>
    <w:rsid w:val="000A4385"/>
    <w:rsid w:val="000A5F2D"/>
    <w:rsid w:val="000A7E5B"/>
    <w:rsid w:val="000B306C"/>
    <w:rsid w:val="000B6828"/>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1992"/>
    <w:rsid w:val="001972EC"/>
    <w:rsid w:val="001A02CC"/>
    <w:rsid w:val="001A0763"/>
    <w:rsid w:val="001A2F90"/>
    <w:rsid w:val="001B2A0A"/>
    <w:rsid w:val="001B4491"/>
    <w:rsid w:val="001B4A61"/>
    <w:rsid w:val="001B7943"/>
    <w:rsid w:val="001C0690"/>
    <w:rsid w:val="001C2884"/>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0E5E"/>
    <w:rsid w:val="00204B15"/>
    <w:rsid w:val="00205DE5"/>
    <w:rsid w:val="0020633D"/>
    <w:rsid w:val="00210590"/>
    <w:rsid w:val="0021619D"/>
    <w:rsid w:val="002169F5"/>
    <w:rsid w:val="00224306"/>
    <w:rsid w:val="0022732B"/>
    <w:rsid w:val="00233D01"/>
    <w:rsid w:val="00243827"/>
    <w:rsid w:val="00245F9A"/>
    <w:rsid w:val="0024668F"/>
    <w:rsid w:val="00251D82"/>
    <w:rsid w:val="00254C42"/>
    <w:rsid w:val="00256654"/>
    <w:rsid w:val="00256BB4"/>
    <w:rsid w:val="00262853"/>
    <w:rsid w:val="00262C8D"/>
    <w:rsid w:val="00263BFE"/>
    <w:rsid w:val="002721B8"/>
    <w:rsid w:val="00284819"/>
    <w:rsid w:val="00291C5F"/>
    <w:rsid w:val="002A18ED"/>
    <w:rsid w:val="002A4E44"/>
    <w:rsid w:val="002A5285"/>
    <w:rsid w:val="002B0374"/>
    <w:rsid w:val="002B1799"/>
    <w:rsid w:val="002B1CFC"/>
    <w:rsid w:val="002B317A"/>
    <w:rsid w:val="002B7F9A"/>
    <w:rsid w:val="002C38DE"/>
    <w:rsid w:val="002D17CE"/>
    <w:rsid w:val="002D2488"/>
    <w:rsid w:val="002D535F"/>
    <w:rsid w:val="002D6915"/>
    <w:rsid w:val="002E5075"/>
    <w:rsid w:val="002F60C6"/>
    <w:rsid w:val="00301C69"/>
    <w:rsid w:val="00305682"/>
    <w:rsid w:val="00307D72"/>
    <w:rsid w:val="00314629"/>
    <w:rsid w:val="00316BE3"/>
    <w:rsid w:val="00332ECB"/>
    <w:rsid w:val="00341C05"/>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A6CF4"/>
    <w:rsid w:val="003B45A9"/>
    <w:rsid w:val="003B4A6E"/>
    <w:rsid w:val="003B4D5C"/>
    <w:rsid w:val="003B6A67"/>
    <w:rsid w:val="003D5F36"/>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30F4"/>
    <w:rsid w:val="00474D46"/>
    <w:rsid w:val="00475442"/>
    <w:rsid w:val="00485992"/>
    <w:rsid w:val="00485CB8"/>
    <w:rsid w:val="00486D5B"/>
    <w:rsid w:val="00487520"/>
    <w:rsid w:val="00491DB1"/>
    <w:rsid w:val="00491F56"/>
    <w:rsid w:val="004953DD"/>
    <w:rsid w:val="0049577A"/>
    <w:rsid w:val="00496B7E"/>
    <w:rsid w:val="004A0A7D"/>
    <w:rsid w:val="004A219E"/>
    <w:rsid w:val="004B3DE8"/>
    <w:rsid w:val="004B67C9"/>
    <w:rsid w:val="004B7C15"/>
    <w:rsid w:val="004C655F"/>
    <w:rsid w:val="004C68C4"/>
    <w:rsid w:val="004C7188"/>
    <w:rsid w:val="004C7366"/>
    <w:rsid w:val="004D00C7"/>
    <w:rsid w:val="004D7D6B"/>
    <w:rsid w:val="004E2C18"/>
    <w:rsid w:val="004E5826"/>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01E69"/>
    <w:rsid w:val="00610622"/>
    <w:rsid w:val="00610E84"/>
    <w:rsid w:val="00620CDE"/>
    <w:rsid w:val="00623BAF"/>
    <w:rsid w:val="00624225"/>
    <w:rsid w:val="0062500E"/>
    <w:rsid w:val="00627358"/>
    <w:rsid w:val="00640385"/>
    <w:rsid w:val="00645440"/>
    <w:rsid w:val="0064615A"/>
    <w:rsid w:val="00650924"/>
    <w:rsid w:val="006519B5"/>
    <w:rsid w:val="00652629"/>
    <w:rsid w:val="00653661"/>
    <w:rsid w:val="00653D1A"/>
    <w:rsid w:val="0065435F"/>
    <w:rsid w:val="006814BC"/>
    <w:rsid w:val="00681EE2"/>
    <w:rsid w:val="00682C34"/>
    <w:rsid w:val="00692759"/>
    <w:rsid w:val="00692D06"/>
    <w:rsid w:val="00693693"/>
    <w:rsid w:val="00694E3B"/>
    <w:rsid w:val="006A4F63"/>
    <w:rsid w:val="006B36A2"/>
    <w:rsid w:val="006B3ECA"/>
    <w:rsid w:val="006C3F10"/>
    <w:rsid w:val="006C4128"/>
    <w:rsid w:val="006C4FC1"/>
    <w:rsid w:val="006C7B53"/>
    <w:rsid w:val="006D0BE3"/>
    <w:rsid w:val="006D73E7"/>
    <w:rsid w:val="006E07F5"/>
    <w:rsid w:val="006E2948"/>
    <w:rsid w:val="006E3FE7"/>
    <w:rsid w:val="006F1E71"/>
    <w:rsid w:val="007067E7"/>
    <w:rsid w:val="007100E9"/>
    <w:rsid w:val="00713289"/>
    <w:rsid w:val="00721C3B"/>
    <w:rsid w:val="007238ED"/>
    <w:rsid w:val="00723FBF"/>
    <w:rsid w:val="007274EB"/>
    <w:rsid w:val="00731552"/>
    <w:rsid w:val="00731627"/>
    <w:rsid w:val="00735D0D"/>
    <w:rsid w:val="0074427F"/>
    <w:rsid w:val="00744B2F"/>
    <w:rsid w:val="00746E22"/>
    <w:rsid w:val="00756220"/>
    <w:rsid w:val="00764336"/>
    <w:rsid w:val="00770C57"/>
    <w:rsid w:val="00776540"/>
    <w:rsid w:val="0078265C"/>
    <w:rsid w:val="00785166"/>
    <w:rsid w:val="00785CCD"/>
    <w:rsid w:val="007864BC"/>
    <w:rsid w:val="007A111A"/>
    <w:rsid w:val="007B2C53"/>
    <w:rsid w:val="007B4AEC"/>
    <w:rsid w:val="007B5CDC"/>
    <w:rsid w:val="007B78BA"/>
    <w:rsid w:val="007B7C40"/>
    <w:rsid w:val="007C0F3F"/>
    <w:rsid w:val="007C212D"/>
    <w:rsid w:val="007C2AEA"/>
    <w:rsid w:val="007C35BD"/>
    <w:rsid w:val="007C56BF"/>
    <w:rsid w:val="007C6E41"/>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53938"/>
    <w:rsid w:val="008616A3"/>
    <w:rsid w:val="00866C06"/>
    <w:rsid w:val="0088501F"/>
    <w:rsid w:val="0088695E"/>
    <w:rsid w:val="00887B64"/>
    <w:rsid w:val="00887C4C"/>
    <w:rsid w:val="00892BB4"/>
    <w:rsid w:val="00896760"/>
    <w:rsid w:val="008B269D"/>
    <w:rsid w:val="008B5336"/>
    <w:rsid w:val="008B5677"/>
    <w:rsid w:val="008C42E9"/>
    <w:rsid w:val="008C4841"/>
    <w:rsid w:val="008C6874"/>
    <w:rsid w:val="008C71FA"/>
    <w:rsid w:val="008D0FE9"/>
    <w:rsid w:val="008E0883"/>
    <w:rsid w:val="008E23F2"/>
    <w:rsid w:val="008F712E"/>
    <w:rsid w:val="0090159D"/>
    <w:rsid w:val="00902259"/>
    <w:rsid w:val="00913911"/>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233CB"/>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25C4"/>
    <w:rsid w:val="00B15E4D"/>
    <w:rsid w:val="00B24A68"/>
    <w:rsid w:val="00B2645C"/>
    <w:rsid w:val="00B27600"/>
    <w:rsid w:val="00B3240D"/>
    <w:rsid w:val="00B353FD"/>
    <w:rsid w:val="00B36DB0"/>
    <w:rsid w:val="00B43BBB"/>
    <w:rsid w:val="00B43DA0"/>
    <w:rsid w:val="00B54164"/>
    <w:rsid w:val="00B5514D"/>
    <w:rsid w:val="00B551F6"/>
    <w:rsid w:val="00B56064"/>
    <w:rsid w:val="00B5652E"/>
    <w:rsid w:val="00B6797B"/>
    <w:rsid w:val="00B87B82"/>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0E08"/>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3D67"/>
    <w:rsid w:val="00CC42B3"/>
    <w:rsid w:val="00CC516E"/>
    <w:rsid w:val="00CC51D5"/>
    <w:rsid w:val="00CC6EF3"/>
    <w:rsid w:val="00CC7C77"/>
    <w:rsid w:val="00CD3F9F"/>
    <w:rsid w:val="00CE50F2"/>
    <w:rsid w:val="00CE5EAF"/>
    <w:rsid w:val="00CE79B3"/>
    <w:rsid w:val="00CF40EB"/>
    <w:rsid w:val="00D02CAD"/>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AF9"/>
    <w:rsid w:val="00DB5D94"/>
    <w:rsid w:val="00DC0D6E"/>
    <w:rsid w:val="00DC5298"/>
    <w:rsid w:val="00DE5372"/>
    <w:rsid w:val="00DF0794"/>
    <w:rsid w:val="00E006DF"/>
    <w:rsid w:val="00E00DB7"/>
    <w:rsid w:val="00E01390"/>
    <w:rsid w:val="00E05D5E"/>
    <w:rsid w:val="00E11075"/>
    <w:rsid w:val="00E11CBF"/>
    <w:rsid w:val="00E169AA"/>
    <w:rsid w:val="00E16B1D"/>
    <w:rsid w:val="00E245D6"/>
    <w:rsid w:val="00E30E78"/>
    <w:rsid w:val="00E329CC"/>
    <w:rsid w:val="00E3361D"/>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2BF6"/>
    <w:rsid w:val="00E94196"/>
    <w:rsid w:val="00E950FF"/>
    <w:rsid w:val="00EA239D"/>
    <w:rsid w:val="00EA3324"/>
    <w:rsid w:val="00EB06AE"/>
    <w:rsid w:val="00EB746E"/>
    <w:rsid w:val="00EC2F99"/>
    <w:rsid w:val="00EC56AB"/>
    <w:rsid w:val="00EC62DB"/>
    <w:rsid w:val="00EC7337"/>
    <w:rsid w:val="00ED1331"/>
    <w:rsid w:val="00ED5E0F"/>
    <w:rsid w:val="00F10452"/>
    <w:rsid w:val="00F11DBE"/>
    <w:rsid w:val="00F128B1"/>
    <w:rsid w:val="00F12EC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29BB"/>
    <w:rsid w:val="00F655C0"/>
    <w:rsid w:val="00F67D26"/>
    <w:rsid w:val="00F71837"/>
    <w:rsid w:val="00F7259C"/>
    <w:rsid w:val="00F74CEA"/>
    <w:rsid w:val="00F84E34"/>
    <w:rsid w:val="00F850E4"/>
    <w:rsid w:val="00F854AC"/>
    <w:rsid w:val="00F858CA"/>
    <w:rsid w:val="00F91B54"/>
    <w:rsid w:val="00F96911"/>
    <w:rsid w:val="00FA3682"/>
    <w:rsid w:val="00FA3D99"/>
    <w:rsid w:val="00FA6AD1"/>
    <w:rsid w:val="00FB2B12"/>
    <w:rsid w:val="00FB2D49"/>
    <w:rsid w:val="00FB3C9D"/>
    <w:rsid w:val="00FB46E7"/>
    <w:rsid w:val="00FB6239"/>
    <w:rsid w:val="00FB7CA4"/>
    <w:rsid w:val="00FC3509"/>
    <w:rsid w:val="00FC43E8"/>
    <w:rsid w:val="00FD026F"/>
    <w:rsid w:val="00FD0720"/>
    <w:rsid w:val="00FD2B82"/>
    <w:rsid w:val="00FD5FC4"/>
    <w:rsid w:val="00FE4F39"/>
    <w:rsid w:val="00FF0528"/>
    <w:rsid w:val="00FF10BD"/>
    <w:rsid w:val="00FF5602"/>
    <w:rsid w:val="00FF78CF"/>
    <w:rsid w:val="01026E3F"/>
    <w:rsid w:val="010F1384"/>
    <w:rsid w:val="011A0B49"/>
    <w:rsid w:val="011E4C0F"/>
    <w:rsid w:val="014A0623"/>
    <w:rsid w:val="01536583"/>
    <w:rsid w:val="01572FC3"/>
    <w:rsid w:val="01626D55"/>
    <w:rsid w:val="01764F01"/>
    <w:rsid w:val="018107C9"/>
    <w:rsid w:val="01854FE9"/>
    <w:rsid w:val="01857805"/>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81444"/>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44BE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0CD2"/>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1F7FE8"/>
    <w:rsid w:val="1B2160BB"/>
    <w:rsid w:val="1B310C56"/>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443138"/>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1C3BAF"/>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140A5"/>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61710"/>
    <w:rsid w:val="55A82784"/>
    <w:rsid w:val="55A97512"/>
    <w:rsid w:val="55B63FD5"/>
    <w:rsid w:val="55C103D3"/>
    <w:rsid w:val="55C35A76"/>
    <w:rsid w:val="55D02A22"/>
    <w:rsid w:val="55D40743"/>
    <w:rsid w:val="55DD6F2A"/>
    <w:rsid w:val="55E8339E"/>
    <w:rsid w:val="55F06771"/>
    <w:rsid w:val="55F7204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837C7E"/>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3EB3"/>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6020"/>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1A6A1E"/>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1028E"/>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9762E"/>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BC3252"/>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CEE05"/>
  <w15:docId w15:val="{D1FD3567-52E2-42A5-B3C3-3D99F49D0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paragraph" w:customStyle="1" w:styleId="13">
    <w:name w:val="列表段落1"/>
    <w:basedOn w:val="a"/>
    <w:link w:val="14"/>
    <w:qFormat/>
    <w:pPr>
      <w:overflowPunct w:val="0"/>
      <w:autoSpaceDE w:val="0"/>
      <w:autoSpaceDN w:val="0"/>
      <w:adjustRightInd w:val="0"/>
      <w:spacing w:after="180"/>
      <w:ind w:firstLineChars="200" w:firstLine="420"/>
      <w:jc w:val="left"/>
    </w:pPr>
    <w:rPr>
      <w:rFonts w:eastAsia="MS Mincho"/>
      <w:kern w:val="0"/>
      <w:sz w:val="20"/>
    </w:rPr>
  </w:style>
  <w:style w:type="character" w:customStyle="1" w:styleId="14">
    <w:name w:val="列表段落 字符1"/>
    <w:basedOn w:val="a0"/>
    <w:link w:val="13"/>
    <w:qFormat/>
    <w:rPr>
      <w:rFonts w:ascii="MS Mincho" w:eastAsia="MS Mincho" w:hAnsi="MS Mincho" w:cs="MS Mincho" w:hint="eastAsi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8D08D-24B1-4D97-A6C8-11DBBFECD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1484</Words>
  <Characters>8465</Characters>
  <Application>Microsoft Office Word</Application>
  <DocSecurity>0</DocSecurity>
  <Lines>70</Lines>
  <Paragraphs>19</Paragraphs>
  <ScaleCrop>false</ScaleCrop>
  <Company>ZTE Corporation</Company>
  <LinksUpToDate>false</LinksUpToDate>
  <CharactersWithSpaces>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58</cp:revision>
  <dcterms:created xsi:type="dcterms:W3CDTF">2021-09-06T20:42:00Z</dcterms:created>
  <dcterms:modified xsi:type="dcterms:W3CDTF">2025-11-07T08:56:00Z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